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B76D" w14:textId="77777777" w:rsidR="00A626A8" w:rsidRDefault="00A626A8" w:rsidP="00912BC7">
      <w:pPr>
        <w:rPr>
          <w:rFonts w:ascii="Calibri" w:hAnsi="Calibri" w:cs="Calibri"/>
          <w:color w:val="000000"/>
        </w:rPr>
      </w:pPr>
      <w:bookmarkStart w:id="0" w:name="_GoBack"/>
      <w:bookmarkEnd w:id="0"/>
      <w:r>
        <w:rPr>
          <w:rFonts w:ascii="Calibri" w:hAnsi="Calibri" w:cs="Calibri"/>
          <w:color w:val="000000"/>
        </w:rPr>
        <w:t>Titel: Erfarenheter av transformativa avtal</w:t>
      </w:r>
    </w:p>
    <w:p w14:paraId="6B4DA74A" w14:textId="77777777" w:rsidR="00A626A8" w:rsidRDefault="00A626A8" w:rsidP="00912BC7">
      <w:pPr>
        <w:rPr>
          <w:rFonts w:ascii="Calibri" w:hAnsi="Calibri" w:cs="Calibri"/>
          <w:color w:val="000000"/>
        </w:rPr>
      </w:pPr>
      <w:r>
        <w:rPr>
          <w:rFonts w:ascii="Calibri" w:hAnsi="Calibri" w:cs="Calibri"/>
          <w:color w:val="000000"/>
        </w:rPr>
        <w:t>Författare: Ramona Mattisson</w:t>
      </w:r>
    </w:p>
    <w:p w14:paraId="1D17A1CB" w14:textId="77777777" w:rsidR="00A626A8" w:rsidRDefault="00A626A8" w:rsidP="003D76E5">
      <w:pPr>
        <w:pStyle w:val="Rubrik1"/>
      </w:pPr>
      <w:r>
        <w:t>Introduktion</w:t>
      </w:r>
    </w:p>
    <w:p w14:paraId="2EA6AF68" w14:textId="33F00322" w:rsidR="00A626A8" w:rsidRDefault="00A626A8" w:rsidP="00443A9F">
      <w:pPr>
        <w:rPr>
          <w:rFonts w:ascii="Calibri" w:hAnsi="Calibri" w:cs="Calibri"/>
          <w:color w:val="000000"/>
        </w:rPr>
      </w:pPr>
      <w:r>
        <w:rPr>
          <w:rFonts w:ascii="Calibri" w:hAnsi="Calibri" w:cs="Calibri"/>
          <w:color w:val="000000"/>
        </w:rPr>
        <w:t xml:space="preserve">Den här studien berör de allt vanligare </w:t>
      </w:r>
      <w:r w:rsidRPr="00615719">
        <w:rPr>
          <w:rFonts w:ascii="Calibri" w:hAnsi="Calibri" w:cs="Calibri"/>
          <w:color w:val="000000"/>
        </w:rPr>
        <w:t xml:space="preserve">transformativa avtal </w:t>
      </w:r>
      <w:r>
        <w:rPr>
          <w:rFonts w:ascii="Calibri" w:hAnsi="Calibri" w:cs="Calibri"/>
          <w:color w:val="000000"/>
        </w:rPr>
        <w:t xml:space="preserve">(TA) och </w:t>
      </w:r>
      <w:r w:rsidRPr="00E20FB5">
        <w:rPr>
          <w:rFonts w:ascii="Calibri" w:hAnsi="Calibri" w:cs="Calibri"/>
          <w:color w:val="000000"/>
        </w:rPr>
        <w:t>läs- och publiceringsavtal</w:t>
      </w:r>
      <w:r w:rsidRPr="00615719">
        <w:rPr>
          <w:rFonts w:ascii="Calibri" w:hAnsi="Calibri" w:cs="Calibri"/>
          <w:color w:val="000000"/>
        </w:rPr>
        <w:t xml:space="preserve"> </w:t>
      </w:r>
      <w:r>
        <w:rPr>
          <w:rFonts w:ascii="Calibri" w:hAnsi="Calibri" w:cs="Calibri"/>
          <w:color w:val="000000"/>
        </w:rPr>
        <w:t>(LP).</w:t>
      </w:r>
      <w:r w:rsidRPr="00527FF2">
        <w:rPr>
          <w:rFonts w:ascii="Calibri" w:hAnsi="Calibri" w:cs="Calibri"/>
          <w:color w:val="000000"/>
        </w:rPr>
        <w:t xml:space="preserve"> </w:t>
      </w:r>
      <w:r>
        <w:rPr>
          <w:rFonts w:ascii="Calibri" w:hAnsi="Calibri" w:cs="Calibri"/>
          <w:color w:val="000000"/>
        </w:rPr>
        <w:t xml:space="preserve">TA är ett paraplybegrepp som </w:t>
      </w:r>
      <w:r w:rsidRPr="00125ED6">
        <w:rPr>
          <w:rFonts w:ascii="Calibri" w:hAnsi="Calibri" w:cs="Calibri"/>
          <w:color w:val="000000"/>
        </w:rPr>
        <w:t>omfattar allt från traditionella prenumeration</w:t>
      </w:r>
      <w:r>
        <w:rPr>
          <w:rFonts w:ascii="Calibri" w:hAnsi="Calibri" w:cs="Calibri"/>
          <w:color w:val="000000"/>
        </w:rPr>
        <w:t>er</w:t>
      </w:r>
      <w:r w:rsidRPr="00125ED6">
        <w:rPr>
          <w:rFonts w:ascii="Calibri" w:hAnsi="Calibri" w:cs="Calibri"/>
          <w:color w:val="000000"/>
        </w:rPr>
        <w:t xml:space="preserve"> som ger rabatter på</w:t>
      </w:r>
      <w:r>
        <w:rPr>
          <w:rFonts w:ascii="Calibri" w:hAnsi="Calibri" w:cs="Calibri"/>
          <w:color w:val="000000"/>
        </w:rPr>
        <w:t xml:space="preserve"> </w:t>
      </w:r>
      <w:r w:rsidRPr="00125ED6">
        <w:rPr>
          <w:rFonts w:ascii="Calibri" w:hAnsi="Calibri" w:cs="Calibri"/>
          <w:color w:val="000000"/>
        </w:rPr>
        <w:t>publiceringsavgifter till avtal som tillåter obegränsad publicering med öppen tillgång</w:t>
      </w:r>
      <w:r>
        <w:rPr>
          <w:rFonts w:ascii="Calibri" w:hAnsi="Calibri" w:cs="Calibri"/>
          <w:color w:val="000000"/>
        </w:rPr>
        <w:t xml:space="preserve"> </w:t>
      </w:r>
      <w:r>
        <w:rPr>
          <w:rFonts w:ascii="Calibri" w:hAnsi="Calibri" w:cs="Calibri"/>
          <w:noProof/>
          <w:color w:val="000000"/>
        </w:rPr>
        <w:t>(Borrego et al., 2021)</w:t>
      </w:r>
      <w:r w:rsidRPr="00125ED6">
        <w:rPr>
          <w:rFonts w:ascii="Calibri" w:hAnsi="Calibri" w:cs="Calibri"/>
          <w:color w:val="000000"/>
        </w:rPr>
        <w:t>.</w:t>
      </w:r>
      <w:r>
        <w:rPr>
          <w:rFonts w:ascii="Calibri" w:hAnsi="Calibri" w:cs="Calibri"/>
          <w:color w:val="000000"/>
        </w:rPr>
        <w:t xml:space="preserve"> Ett LP sammanför</w:t>
      </w:r>
      <w:r w:rsidRPr="00137F42">
        <w:rPr>
          <w:rFonts w:ascii="Calibri" w:hAnsi="Calibri" w:cs="Calibri"/>
          <w:color w:val="000000"/>
        </w:rPr>
        <w:t xml:space="preserve"> avgifter</w:t>
      </w:r>
      <w:r>
        <w:rPr>
          <w:rFonts w:ascii="Calibri" w:hAnsi="Calibri" w:cs="Calibri"/>
          <w:color w:val="000000"/>
        </w:rPr>
        <w:t>na för</w:t>
      </w:r>
      <w:r w:rsidRPr="00137F42">
        <w:rPr>
          <w:rFonts w:ascii="Calibri" w:hAnsi="Calibri" w:cs="Calibri"/>
          <w:color w:val="000000"/>
        </w:rPr>
        <w:t xml:space="preserve"> prenumeration</w:t>
      </w:r>
      <w:r>
        <w:rPr>
          <w:rFonts w:ascii="Calibri" w:hAnsi="Calibri" w:cs="Calibri"/>
          <w:color w:val="000000"/>
        </w:rPr>
        <w:t xml:space="preserve">er </w:t>
      </w:r>
      <w:r w:rsidRPr="00137F42">
        <w:rPr>
          <w:rFonts w:ascii="Calibri" w:hAnsi="Calibri" w:cs="Calibri"/>
          <w:color w:val="000000"/>
        </w:rPr>
        <w:t>med publicering</w:t>
      </w:r>
      <w:r>
        <w:rPr>
          <w:rFonts w:ascii="Calibri" w:hAnsi="Calibri" w:cs="Calibri"/>
          <w:color w:val="000000"/>
        </w:rPr>
        <w:t>ar och syftar till att ö</w:t>
      </w:r>
      <w:r w:rsidRPr="00137F42">
        <w:rPr>
          <w:rFonts w:ascii="Calibri" w:hAnsi="Calibri" w:cs="Calibri"/>
          <w:color w:val="000000"/>
        </w:rPr>
        <w:t xml:space="preserve">ka andelen öppet tillgängliga artiklar </w:t>
      </w:r>
      <w:r>
        <w:rPr>
          <w:rFonts w:ascii="Calibri" w:hAnsi="Calibri" w:cs="Calibri"/>
          <w:noProof/>
          <w:color w:val="000000"/>
        </w:rPr>
        <w:t>(Kungliga biblioteket, 2019a, s. 14)</w:t>
      </w:r>
      <w:r>
        <w:rPr>
          <w:rFonts w:ascii="Calibri" w:hAnsi="Calibri" w:cs="Calibri"/>
          <w:color w:val="000000"/>
        </w:rPr>
        <w:t xml:space="preserve">. Idén är att minska utgifterna och att på sikt påverka </w:t>
      </w:r>
      <w:r w:rsidRPr="00137F42">
        <w:rPr>
          <w:rFonts w:ascii="Calibri" w:hAnsi="Calibri" w:cs="Calibri"/>
          <w:color w:val="000000"/>
        </w:rPr>
        <w:t>förlagens</w:t>
      </w:r>
      <w:r>
        <w:rPr>
          <w:rFonts w:ascii="Calibri" w:hAnsi="Calibri" w:cs="Calibri"/>
          <w:color w:val="000000"/>
        </w:rPr>
        <w:t xml:space="preserve"> </w:t>
      </w:r>
      <w:r w:rsidRPr="00137F42">
        <w:rPr>
          <w:rFonts w:ascii="Calibri" w:hAnsi="Calibri" w:cs="Calibri"/>
          <w:color w:val="000000"/>
        </w:rPr>
        <w:t xml:space="preserve">affärsmodeller </w:t>
      </w:r>
      <w:r>
        <w:rPr>
          <w:rFonts w:ascii="Calibri" w:hAnsi="Calibri" w:cs="Calibri"/>
          <w:color w:val="000000"/>
        </w:rPr>
        <w:t>så att prenumerationsavgifterna avvecklas</w:t>
      </w:r>
      <w:r w:rsidRPr="00137F42">
        <w:rPr>
          <w:rFonts w:ascii="Calibri" w:hAnsi="Calibri" w:cs="Calibri"/>
          <w:color w:val="000000"/>
        </w:rPr>
        <w:t xml:space="preserve"> </w:t>
      </w:r>
      <w:r>
        <w:rPr>
          <w:rFonts w:ascii="Calibri" w:hAnsi="Calibri" w:cs="Calibri"/>
          <w:color w:val="000000"/>
        </w:rPr>
        <w:t xml:space="preserve">och forskningsmedel enbart används till </w:t>
      </w:r>
      <w:r w:rsidRPr="00137F42">
        <w:rPr>
          <w:rFonts w:ascii="Calibri" w:hAnsi="Calibri" w:cs="Calibri"/>
          <w:color w:val="000000"/>
        </w:rPr>
        <w:t>publicering</w:t>
      </w:r>
      <w:r>
        <w:rPr>
          <w:rFonts w:ascii="Calibri" w:hAnsi="Calibri" w:cs="Calibri"/>
          <w:color w:val="000000"/>
        </w:rPr>
        <w:t>ar</w:t>
      </w:r>
      <w:r w:rsidRPr="00137F42">
        <w:rPr>
          <w:rFonts w:ascii="Calibri" w:hAnsi="Calibri" w:cs="Calibri"/>
          <w:color w:val="000000"/>
        </w:rPr>
        <w:t xml:space="preserve"> </w:t>
      </w:r>
      <w:r>
        <w:rPr>
          <w:rFonts w:ascii="Calibri" w:hAnsi="Calibri" w:cs="Calibri"/>
          <w:color w:val="000000"/>
        </w:rPr>
        <w:t>av</w:t>
      </w:r>
      <w:r w:rsidRPr="00137F42">
        <w:rPr>
          <w:rFonts w:ascii="Calibri" w:hAnsi="Calibri" w:cs="Calibri"/>
          <w:color w:val="000000"/>
        </w:rPr>
        <w:t xml:space="preserve"> öppet tillgängliga</w:t>
      </w:r>
      <w:r>
        <w:rPr>
          <w:rFonts w:ascii="Calibri" w:hAnsi="Calibri" w:cs="Calibri"/>
          <w:color w:val="000000"/>
        </w:rPr>
        <w:t xml:space="preserve"> </w:t>
      </w:r>
      <w:r w:rsidRPr="00137F42">
        <w:rPr>
          <w:rFonts w:ascii="Calibri" w:hAnsi="Calibri" w:cs="Calibri"/>
          <w:color w:val="000000"/>
        </w:rPr>
        <w:t>artiklar.</w:t>
      </w:r>
      <w:r>
        <w:rPr>
          <w:rFonts w:ascii="Calibri" w:hAnsi="Calibri" w:cs="Calibri"/>
          <w:color w:val="000000"/>
        </w:rPr>
        <w:t xml:space="preserve"> Förhandlingar sker med förlaget för att ge universiteten tillgång till prenumerationsbaserade tidskrifter och möjlighet för den enskilde forskaren att utan avgift publicera </w:t>
      </w:r>
      <w:proofErr w:type="spellStart"/>
      <w:r>
        <w:rPr>
          <w:rFonts w:ascii="Calibri" w:hAnsi="Calibri" w:cs="Calibri"/>
          <w:color w:val="000000"/>
        </w:rPr>
        <w:t>Open</w:t>
      </w:r>
      <w:proofErr w:type="spellEnd"/>
      <w:r>
        <w:rPr>
          <w:rFonts w:ascii="Calibri" w:hAnsi="Calibri" w:cs="Calibri"/>
          <w:color w:val="000000"/>
        </w:rPr>
        <w:t xml:space="preserve"> Access-artiklar </w:t>
      </w:r>
      <w:r>
        <w:rPr>
          <w:rFonts w:ascii="Calibri" w:hAnsi="Calibri" w:cs="Calibri"/>
          <w:noProof/>
          <w:color w:val="000000"/>
        </w:rPr>
        <w:t>(Kungliga biblioteket, 2019a, s. 14-15)</w:t>
      </w:r>
      <w:r>
        <w:rPr>
          <w:rFonts w:ascii="Calibri" w:hAnsi="Calibri" w:cs="Calibri"/>
          <w:color w:val="000000"/>
        </w:rPr>
        <w:t xml:space="preserve">. </w:t>
      </w:r>
      <w:proofErr w:type="spellStart"/>
      <w:r>
        <w:rPr>
          <w:rFonts w:ascii="Calibri" w:hAnsi="Calibri" w:cs="Calibri"/>
          <w:color w:val="000000"/>
        </w:rPr>
        <w:t>Open</w:t>
      </w:r>
      <w:proofErr w:type="spellEnd"/>
      <w:r>
        <w:rPr>
          <w:rFonts w:ascii="Calibri" w:hAnsi="Calibri" w:cs="Calibri"/>
          <w:color w:val="000000"/>
        </w:rPr>
        <w:t xml:space="preserve"> Access (OA) </w:t>
      </w:r>
      <w:r>
        <w:rPr>
          <w:rFonts w:ascii="Calibri" w:hAnsi="Calibri" w:cs="Calibri"/>
          <w:color w:val="000000"/>
        </w:rPr>
        <w:t>innebär</w:t>
      </w:r>
      <w:r>
        <w:rPr>
          <w:rFonts w:ascii="Calibri" w:hAnsi="Calibri" w:cs="Calibri"/>
          <w:color w:val="000000"/>
        </w:rPr>
        <w:t xml:space="preserve"> att litteraturen är</w:t>
      </w:r>
      <w:r>
        <w:rPr>
          <w:rFonts w:ascii="Calibri" w:hAnsi="Calibri" w:cs="Calibri"/>
          <w:color w:val="000000"/>
        </w:rPr>
        <w:t xml:space="preserve"> fritt tillgänglig och</w:t>
      </w:r>
      <w:r w:rsidRPr="00106679">
        <w:rPr>
          <w:rFonts w:ascii="Calibri" w:hAnsi="Calibri" w:cs="Calibri"/>
          <w:color w:val="000000"/>
        </w:rPr>
        <w:t xml:space="preserve"> </w:t>
      </w:r>
      <w:r>
        <w:rPr>
          <w:rFonts w:ascii="Calibri" w:hAnsi="Calibri" w:cs="Calibri"/>
          <w:color w:val="000000"/>
        </w:rPr>
        <w:t xml:space="preserve">fri från </w:t>
      </w:r>
      <w:r w:rsidRPr="00106679">
        <w:rPr>
          <w:rFonts w:ascii="Calibri" w:hAnsi="Calibri" w:cs="Calibri"/>
          <w:color w:val="000000"/>
        </w:rPr>
        <w:t>de flesta upphovsrätts</w:t>
      </w:r>
      <w:r>
        <w:rPr>
          <w:rFonts w:ascii="Calibri" w:hAnsi="Calibri" w:cs="Calibri"/>
          <w:color w:val="000000"/>
        </w:rPr>
        <w:t xml:space="preserve">liga </w:t>
      </w:r>
      <w:r w:rsidRPr="00106679">
        <w:rPr>
          <w:rFonts w:ascii="Calibri" w:hAnsi="Calibri" w:cs="Calibri"/>
          <w:color w:val="000000"/>
        </w:rPr>
        <w:t>restriktioner</w:t>
      </w:r>
      <w:r>
        <w:rPr>
          <w:rFonts w:ascii="Calibri" w:hAnsi="Calibri" w:cs="Calibri"/>
          <w:color w:val="000000"/>
        </w:rPr>
        <w:t xml:space="preserve"> </w:t>
      </w:r>
      <w:r>
        <w:rPr>
          <w:rFonts w:ascii="Calibri" w:hAnsi="Calibri" w:cs="Calibri"/>
          <w:noProof/>
          <w:color w:val="000000"/>
        </w:rPr>
        <w:t>(Suber, 2012, s. 4)</w:t>
      </w:r>
      <w:r w:rsidRPr="00106679">
        <w:rPr>
          <w:rFonts w:ascii="Calibri" w:hAnsi="Calibri" w:cs="Calibri"/>
          <w:color w:val="000000"/>
        </w:rPr>
        <w:t>.</w:t>
      </w:r>
      <w:r>
        <w:rPr>
          <w:rFonts w:ascii="Calibri" w:hAnsi="Calibri" w:cs="Calibri"/>
          <w:color w:val="000000"/>
        </w:rPr>
        <w:t xml:space="preserve"> </w:t>
      </w:r>
      <w:r>
        <w:rPr>
          <w:rFonts w:ascii="Calibri" w:hAnsi="Calibri" w:cs="Calibri"/>
          <w:color w:val="000000"/>
        </w:rPr>
        <w:t xml:space="preserve">Från 2022 har TA ersatt begreppet LP i Sverige med tillägget att </w:t>
      </w:r>
      <w:r w:rsidRPr="00443A9F">
        <w:rPr>
          <w:rFonts w:ascii="Calibri" w:hAnsi="Calibri" w:cs="Calibri"/>
          <w:color w:val="000000"/>
        </w:rPr>
        <w:t>de</w:t>
      </w:r>
      <w:r>
        <w:rPr>
          <w:rFonts w:ascii="Calibri" w:hAnsi="Calibri" w:cs="Calibri"/>
          <w:color w:val="000000"/>
        </w:rPr>
        <w:t xml:space="preserve"> </w:t>
      </w:r>
      <w:r w:rsidRPr="00443A9F">
        <w:rPr>
          <w:rFonts w:ascii="Calibri" w:hAnsi="Calibri" w:cs="Calibri"/>
          <w:color w:val="000000"/>
        </w:rPr>
        <w:t>prenumerationsbaserade tidskrifterna ska transformeras till</w:t>
      </w:r>
      <w:r>
        <w:rPr>
          <w:rFonts w:ascii="Calibri" w:hAnsi="Calibri" w:cs="Calibri"/>
          <w:color w:val="000000"/>
        </w:rPr>
        <w:t xml:space="preserve"> OA</w:t>
      </w:r>
      <w:r w:rsidRPr="00443A9F">
        <w:rPr>
          <w:rFonts w:ascii="Calibri" w:hAnsi="Calibri" w:cs="Calibri"/>
          <w:color w:val="000000"/>
        </w:rPr>
        <w:t>-tidskrifter</w:t>
      </w:r>
      <w:r>
        <w:rPr>
          <w:rFonts w:ascii="Calibri" w:hAnsi="Calibri" w:cs="Calibri"/>
          <w:color w:val="000000"/>
        </w:rPr>
        <w:t xml:space="preserve"> under ett förbestämt år </w:t>
      </w:r>
      <w:r>
        <w:rPr>
          <w:rFonts w:ascii="Calibri" w:hAnsi="Calibri" w:cs="Calibri"/>
          <w:noProof/>
          <w:color w:val="000000"/>
        </w:rPr>
        <w:t>(Vetenskapsrådet, 2022, s. 11)</w:t>
      </w:r>
      <w:r>
        <w:rPr>
          <w:rFonts w:ascii="Calibri" w:hAnsi="Calibri" w:cs="Calibri"/>
          <w:color w:val="000000"/>
        </w:rPr>
        <w:t xml:space="preserve">. I den här studien kommer TA och LP användas som synonyma begrepp. År 2016 fick Sverige genom </w:t>
      </w:r>
      <w:r>
        <w:rPr>
          <w:rFonts w:ascii="Calibri" w:hAnsi="Calibri" w:cs="Calibri"/>
          <w:color w:val="000000"/>
        </w:rPr>
        <w:t>bibliotekskonsortiet</w:t>
      </w:r>
      <w:r>
        <w:rPr>
          <w:rFonts w:ascii="Calibri" w:hAnsi="Calibri" w:cs="Calibri"/>
          <w:color w:val="000000"/>
        </w:rPr>
        <w:t xml:space="preserve"> </w:t>
      </w:r>
      <w:proofErr w:type="spellStart"/>
      <w:r>
        <w:rPr>
          <w:rFonts w:ascii="Calibri" w:hAnsi="Calibri" w:cs="Calibri"/>
          <w:color w:val="000000"/>
        </w:rPr>
        <w:t>Bibsam</w:t>
      </w:r>
      <w:proofErr w:type="spellEnd"/>
      <w:r>
        <w:rPr>
          <w:rFonts w:ascii="Calibri" w:hAnsi="Calibri" w:cs="Calibri"/>
          <w:color w:val="000000"/>
        </w:rPr>
        <w:t xml:space="preserve"> sitt första LP</w:t>
      </w:r>
      <w:r w:rsidRPr="00E20FB5">
        <w:rPr>
          <w:rFonts w:ascii="Calibri" w:hAnsi="Calibri" w:cs="Calibri"/>
          <w:color w:val="000000"/>
        </w:rPr>
        <w:t xml:space="preserve"> </w:t>
      </w:r>
      <w:r>
        <w:rPr>
          <w:rFonts w:ascii="Calibri" w:hAnsi="Calibri" w:cs="Calibri"/>
          <w:color w:val="000000"/>
        </w:rPr>
        <w:t xml:space="preserve">med Springer </w:t>
      </w:r>
      <w:r>
        <w:rPr>
          <w:rFonts w:ascii="Calibri" w:hAnsi="Calibri" w:cs="Calibri"/>
          <w:noProof/>
          <w:color w:val="000000"/>
        </w:rPr>
        <w:t>(Kungliga biblioteket, 2016)</w:t>
      </w:r>
      <w:r>
        <w:rPr>
          <w:rFonts w:ascii="Calibri" w:hAnsi="Calibri" w:cs="Calibri"/>
          <w:color w:val="000000"/>
        </w:rPr>
        <w:t xml:space="preserve">. </w:t>
      </w:r>
      <w:r>
        <w:rPr>
          <w:rFonts w:ascii="Calibri" w:hAnsi="Calibri" w:cs="Calibri"/>
          <w:color w:val="000000"/>
        </w:rPr>
        <w:t xml:space="preserve">I </w:t>
      </w:r>
      <w:proofErr w:type="spellStart"/>
      <w:r>
        <w:rPr>
          <w:rFonts w:ascii="Calibri" w:hAnsi="Calibri" w:cs="Calibri"/>
          <w:color w:val="000000"/>
        </w:rPr>
        <w:t>Bibsams</w:t>
      </w:r>
      <w:proofErr w:type="spellEnd"/>
      <w:r>
        <w:rPr>
          <w:rFonts w:ascii="Calibri" w:hAnsi="Calibri" w:cs="Calibri"/>
          <w:color w:val="000000"/>
        </w:rPr>
        <w:t xml:space="preserve"> handlingsplan för 2022–2024</w:t>
      </w:r>
      <w:r>
        <w:rPr>
          <w:rFonts w:ascii="Calibri" w:hAnsi="Calibri" w:cs="Calibri"/>
          <w:color w:val="000000"/>
        </w:rPr>
        <w:t xml:space="preserve"> framgår</w:t>
      </w:r>
      <w:r>
        <w:rPr>
          <w:rFonts w:ascii="Calibri" w:hAnsi="Calibri" w:cs="Calibri"/>
          <w:color w:val="000000"/>
        </w:rPr>
        <w:t xml:space="preserve"> att de fortsätter </w:t>
      </w:r>
      <w:r w:rsidRPr="00E20FB5">
        <w:rPr>
          <w:rFonts w:ascii="Calibri" w:hAnsi="Calibri" w:cs="Calibri"/>
          <w:color w:val="000000"/>
        </w:rPr>
        <w:t xml:space="preserve">teckna </w:t>
      </w:r>
      <w:r>
        <w:rPr>
          <w:rFonts w:ascii="Calibri" w:hAnsi="Calibri" w:cs="Calibri"/>
          <w:color w:val="000000"/>
        </w:rPr>
        <w:t>LP</w:t>
      </w:r>
      <w:r w:rsidRPr="00E20FB5">
        <w:rPr>
          <w:rFonts w:ascii="Calibri" w:hAnsi="Calibri" w:cs="Calibri"/>
          <w:color w:val="000000"/>
        </w:rPr>
        <w:t xml:space="preserve"> för både </w:t>
      </w:r>
      <w:r w:rsidRPr="00633413">
        <w:rPr>
          <w:rFonts w:ascii="Calibri" w:hAnsi="Calibri" w:cs="Calibri"/>
          <w:color w:val="000000"/>
        </w:rPr>
        <w:t xml:space="preserve">hybrid- och </w:t>
      </w:r>
      <w:proofErr w:type="spellStart"/>
      <w:r w:rsidRPr="00633413">
        <w:rPr>
          <w:rFonts w:ascii="Calibri" w:hAnsi="Calibri" w:cs="Calibri"/>
          <w:color w:val="000000"/>
        </w:rPr>
        <w:t>Open</w:t>
      </w:r>
      <w:proofErr w:type="spellEnd"/>
      <w:r w:rsidRPr="00633413">
        <w:rPr>
          <w:rFonts w:ascii="Calibri" w:hAnsi="Calibri" w:cs="Calibri"/>
          <w:color w:val="000000"/>
        </w:rPr>
        <w:t xml:space="preserve"> Access-tidskrifter,</w:t>
      </w:r>
      <w:r>
        <w:rPr>
          <w:rFonts w:ascii="Calibri" w:hAnsi="Calibri" w:cs="Calibri"/>
          <w:color w:val="000000"/>
        </w:rPr>
        <w:t xml:space="preserve"> då den globala övergången till ett öppet publiceringssystem går</w:t>
      </w:r>
      <w:r>
        <w:rPr>
          <w:rFonts w:ascii="Calibri" w:hAnsi="Calibri" w:cs="Calibri"/>
          <w:color w:val="000000"/>
        </w:rPr>
        <w:t xml:space="preserve"> långsamt</w:t>
      </w:r>
      <w:r>
        <w:rPr>
          <w:rFonts w:ascii="Calibri" w:hAnsi="Calibri" w:cs="Calibri"/>
          <w:color w:val="000000"/>
        </w:rPr>
        <w:t xml:space="preserve"> </w:t>
      </w:r>
      <w:r>
        <w:rPr>
          <w:rFonts w:ascii="Calibri" w:hAnsi="Calibri" w:cs="Calibri"/>
          <w:noProof/>
          <w:color w:val="000000"/>
        </w:rPr>
        <w:t>(Kungliga biblioteket, 2022)</w:t>
      </w:r>
      <w:r w:rsidRPr="00E20FB5">
        <w:rPr>
          <w:rFonts w:ascii="Calibri" w:hAnsi="Calibri" w:cs="Calibri"/>
          <w:color w:val="000000"/>
        </w:rPr>
        <w:t>.</w:t>
      </w:r>
      <w:r>
        <w:rPr>
          <w:rFonts w:ascii="Calibri" w:hAnsi="Calibri" w:cs="Calibri"/>
          <w:color w:val="000000"/>
        </w:rPr>
        <w:t xml:space="preserve"> I en ren OA-tidskrift är alla artiklar </w:t>
      </w:r>
      <w:r>
        <w:rPr>
          <w:rFonts w:ascii="Calibri" w:hAnsi="Calibri" w:cs="Calibri"/>
          <w:color w:val="000000"/>
        </w:rPr>
        <w:t>öppna</w:t>
      </w:r>
      <w:r>
        <w:rPr>
          <w:rFonts w:ascii="Calibri" w:hAnsi="Calibri" w:cs="Calibri"/>
          <w:color w:val="000000"/>
        </w:rPr>
        <w:t xml:space="preserve"> </w:t>
      </w:r>
      <w:r>
        <w:rPr>
          <w:rFonts w:ascii="Calibri" w:hAnsi="Calibri" w:cs="Calibri"/>
          <w:color w:val="000000"/>
        </w:rPr>
        <w:t xml:space="preserve">medan endast vissa </w:t>
      </w:r>
      <w:r>
        <w:rPr>
          <w:rFonts w:ascii="Calibri" w:hAnsi="Calibri" w:cs="Calibri"/>
          <w:color w:val="000000"/>
        </w:rPr>
        <w:t>artiklar</w:t>
      </w:r>
      <w:r>
        <w:rPr>
          <w:rFonts w:ascii="Calibri" w:hAnsi="Calibri" w:cs="Calibri"/>
          <w:color w:val="000000"/>
        </w:rPr>
        <w:t xml:space="preserve"> är öppna i</w:t>
      </w:r>
      <w:r>
        <w:rPr>
          <w:rFonts w:ascii="Calibri" w:hAnsi="Calibri" w:cs="Calibri"/>
          <w:color w:val="000000"/>
        </w:rPr>
        <w:t xml:space="preserve"> en hybridtidskrift som tar ut en högre </w:t>
      </w:r>
      <w:r w:rsidRPr="00633413">
        <w:rPr>
          <w:rFonts w:ascii="Calibri" w:hAnsi="Calibri" w:cs="Calibri"/>
          <w:color w:val="000000"/>
        </w:rPr>
        <w:t>publiceringsavgift</w:t>
      </w:r>
      <w:r>
        <w:rPr>
          <w:rFonts w:ascii="Calibri" w:hAnsi="Calibri" w:cs="Calibri"/>
          <w:color w:val="000000"/>
        </w:rPr>
        <w:t xml:space="preserve"> </w:t>
      </w:r>
      <w:r w:rsidRPr="00633413">
        <w:rPr>
          <w:rFonts w:ascii="Calibri" w:hAnsi="Calibri" w:cs="Calibri"/>
          <w:color w:val="000000"/>
        </w:rPr>
        <w:t>för OA-alternativet</w:t>
      </w:r>
      <w:r>
        <w:rPr>
          <w:rFonts w:ascii="Calibri" w:hAnsi="Calibri" w:cs="Calibri"/>
          <w:color w:val="000000"/>
        </w:rPr>
        <w:t xml:space="preserve"> </w:t>
      </w:r>
      <w:r>
        <w:rPr>
          <w:rFonts w:ascii="Calibri" w:hAnsi="Calibri" w:cs="Calibri"/>
          <w:noProof/>
          <w:color w:val="000000"/>
        </w:rPr>
        <w:t>(Suber, 2012, s. 140; Vetenskapsrådet, 2022, s. 9)</w:t>
      </w:r>
      <w:r w:rsidRPr="00633413">
        <w:rPr>
          <w:rFonts w:ascii="Calibri" w:hAnsi="Calibri" w:cs="Calibri"/>
          <w:color w:val="000000"/>
        </w:rPr>
        <w:t>.</w:t>
      </w:r>
    </w:p>
    <w:p w14:paraId="4BA3E745" w14:textId="77777777" w:rsidR="00A626A8" w:rsidRDefault="00A626A8" w:rsidP="0098261A">
      <w:pPr>
        <w:rPr>
          <w:rFonts w:ascii="Calibri" w:hAnsi="Calibri" w:cs="Calibri"/>
          <w:color w:val="000000"/>
        </w:rPr>
      </w:pPr>
      <w:r>
        <w:rPr>
          <w:rFonts w:ascii="Calibri" w:hAnsi="Calibri" w:cs="Calibri"/>
          <w:color w:val="000000"/>
        </w:rPr>
        <w:t>Syftet med studien är att samla in erfarenheter och undersöka v</w:t>
      </w:r>
      <w:r w:rsidRPr="00912BC7">
        <w:rPr>
          <w:rFonts w:ascii="Calibri" w:hAnsi="Calibri" w:cs="Calibri"/>
          <w:color w:val="000000"/>
        </w:rPr>
        <w:t xml:space="preserve">ilka </w:t>
      </w:r>
      <w:r>
        <w:rPr>
          <w:rFonts w:ascii="Calibri" w:hAnsi="Calibri" w:cs="Calibri"/>
          <w:color w:val="000000"/>
        </w:rPr>
        <w:t>tänkbara k</w:t>
      </w:r>
      <w:r w:rsidRPr="00912BC7">
        <w:rPr>
          <w:rFonts w:ascii="Calibri" w:hAnsi="Calibri" w:cs="Calibri"/>
          <w:color w:val="000000"/>
        </w:rPr>
        <w:t xml:space="preserve">onsekvenser en övergång till </w:t>
      </w:r>
      <w:r>
        <w:rPr>
          <w:rFonts w:ascii="Calibri" w:hAnsi="Calibri" w:cs="Calibri"/>
          <w:color w:val="000000"/>
        </w:rPr>
        <w:t>LP</w:t>
      </w:r>
      <w:r w:rsidRPr="00912BC7">
        <w:rPr>
          <w:rFonts w:ascii="Calibri" w:hAnsi="Calibri" w:cs="Calibri"/>
          <w:color w:val="000000"/>
        </w:rPr>
        <w:t xml:space="preserve"> eller </w:t>
      </w:r>
      <w:r>
        <w:rPr>
          <w:rFonts w:ascii="Calibri" w:hAnsi="Calibri" w:cs="Calibri"/>
          <w:color w:val="000000"/>
        </w:rPr>
        <w:t>TA</w:t>
      </w:r>
      <w:r w:rsidRPr="00912BC7">
        <w:rPr>
          <w:rFonts w:ascii="Calibri" w:hAnsi="Calibri" w:cs="Calibri"/>
          <w:color w:val="000000"/>
        </w:rPr>
        <w:t xml:space="preserve"> kan få</w:t>
      </w:r>
      <w:r>
        <w:rPr>
          <w:rFonts w:ascii="Calibri" w:hAnsi="Calibri" w:cs="Calibri"/>
          <w:color w:val="000000"/>
        </w:rPr>
        <w:t xml:space="preserve">. Särskilt fokus ligger på Sverige, Nederländerna och Storbritannien som var tidiga med LP och </w:t>
      </w:r>
      <w:r>
        <w:rPr>
          <w:rFonts w:ascii="Calibri" w:hAnsi="Calibri" w:cs="Calibri"/>
          <w:color w:val="000000"/>
        </w:rPr>
        <w:t xml:space="preserve">att </w:t>
      </w:r>
      <w:r>
        <w:rPr>
          <w:rFonts w:ascii="Calibri" w:hAnsi="Calibri" w:cs="Calibri"/>
          <w:color w:val="000000"/>
        </w:rPr>
        <w:t xml:space="preserve">belysa </w:t>
      </w:r>
      <w:r>
        <w:rPr>
          <w:rFonts w:ascii="Calibri" w:hAnsi="Calibri" w:cs="Calibri"/>
          <w:color w:val="000000"/>
        </w:rPr>
        <w:t xml:space="preserve">negativa och positiva erfarenheter samt farhågor och förhoppningar. </w:t>
      </w:r>
      <w:r>
        <w:rPr>
          <w:rFonts w:ascii="Calibri" w:hAnsi="Calibri" w:cs="Calibri"/>
          <w:color w:val="000000"/>
        </w:rPr>
        <w:t xml:space="preserve">Den här studien är motiverad av att TA är en pågående process i Sverige som förändrar den akademiska publiceringsvärlden. </w:t>
      </w:r>
    </w:p>
    <w:p w14:paraId="69EC2EA3" w14:textId="77777777" w:rsidR="00A626A8" w:rsidRDefault="00A626A8" w:rsidP="003D76E5">
      <w:pPr>
        <w:rPr>
          <w:rFonts w:ascii="Calibri" w:hAnsi="Calibri" w:cs="Calibri"/>
          <w:color w:val="000000"/>
        </w:rPr>
      </w:pPr>
    </w:p>
    <w:p w14:paraId="24C604A0" w14:textId="77777777" w:rsidR="00A626A8" w:rsidRDefault="00A626A8" w:rsidP="006A43B7">
      <w:pPr>
        <w:pStyle w:val="Rubrik3"/>
      </w:pPr>
      <w:r>
        <w:t xml:space="preserve">Akademisk publicering </w:t>
      </w:r>
    </w:p>
    <w:p w14:paraId="5BAC26B2" w14:textId="77777777" w:rsidR="00A626A8" w:rsidRDefault="00A626A8" w:rsidP="00094657">
      <w:pPr>
        <w:rPr>
          <w:rFonts w:ascii="Calibri" w:hAnsi="Calibri" w:cs="Calibri"/>
          <w:color w:val="000000"/>
        </w:rPr>
      </w:pPr>
      <w:r>
        <w:rPr>
          <w:rFonts w:ascii="Calibri" w:hAnsi="Calibri" w:cs="Calibri"/>
          <w:color w:val="000000"/>
        </w:rPr>
        <w:t xml:space="preserve">En stor del av Sveriges skatteintäkter som går till den offentliga sektorn går till lärosätenas verksamheter och framför allt till finansieringen av forskning </w:t>
      </w:r>
      <w:r>
        <w:rPr>
          <w:rFonts w:ascii="Calibri" w:hAnsi="Calibri" w:cs="Calibri"/>
          <w:noProof/>
          <w:color w:val="000000"/>
        </w:rPr>
        <w:t>(Berggren, 2016, s. 9)</w:t>
      </w:r>
      <w:r>
        <w:rPr>
          <w:rFonts w:ascii="Calibri" w:hAnsi="Calibri" w:cs="Calibri"/>
          <w:color w:val="000000"/>
        </w:rPr>
        <w:t xml:space="preserve">. Sett till Sveriges storlek är det en stor del av landets BNP, 3,4 %, som går till forskning och utveckling </w:t>
      </w:r>
      <w:r>
        <w:rPr>
          <w:rFonts w:ascii="Calibri" w:hAnsi="Calibri" w:cs="Calibri"/>
          <w:noProof/>
          <w:color w:val="000000"/>
        </w:rPr>
        <w:t>(Sveriges unga akademi, 2022, s. 7)</w:t>
      </w:r>
      <w:r>
        <w:rPr>
          <w:rFonts w:ascii="Calibri" w:hAnsi="Calibri" w:cs="Calibri"/>
          <w:color w:val="000000"/>
        </w:rPr>
        <w:t xml:space="preserve">. De </w:t>
      </w:r>
      <w:r w:rsidRPr="00094657">
        <w:rPr>
          <w:rFonts w:ascii="Calibri" w:hAnsi="Calibri" w:cs="Calibri"/>
          <w:color w:val="000000"/>
        </w:rPr>
        <w:t>europeiska lärosäten</w:t>
      </w:r>
      <w:r>
        <w:rPr>
          <w:rFonts w:ascii="Calibri" w:hAnsi="Calibri" w:cs="Calibri"/>
          <w:color w:val="000000"/>
        </w:rPr>
        <w:t xml:space="preserve">a </w:t>
      </w:r>
      <w:r w:rsidRPr="00094657">
        <w:rPr>
          <w:rFonts w:ascii="Calibri" w:hAnsi="Calibri" w:cs="Calibri"/>
          <w:color w:val="000000"/>
        </w:rPr>
        <w:t xml:space="preserve">uppskattas ha spenderat mer än 420 miljoner euro </w:t>
      </w:r>
      <w:r>
        <w:rPr>
          <w:rFonts w:ascii="Calibri" w:hAnsi="Calibri" w:cs="Calibri"/>
          <w:color w:val="000000"/>
        </w:rPr>
        <w:t xml:space="preserve">tillsammans </w:t>
      </w:r>
      <w:r w:rsidRPr="00094657">
        <w:rPr>
          <w:rFonts w:ascii="Calibri" w:hAnsi="Calibri" w:cs="Calibri"/>
          <w:color w:val="000000"/>
        </w:rPr>
        <w:t>2018 på de</w:t>
      </w:r>
      <w:r>
        <w:rPr>
          <w:rFonts w:ascii="Calibri" w:hAnsi="Calibri" w:cs="Calibri"/>
          <w:color w:val="000000"/>
        </w:rPr>
        <w:t xml:space="preserve"> </w:t>
      </w:r>
      <w:r w:rsidRPr="00094657">
        <w:rPr>
          <w:rFonts w:ascii="Calibri" w:hAnsi="Calibri" w:cs="Calibri"/>
          <w:color w:val="000000"/>
        </w:rPr>
        <w:t>fem största förlagen</w:t>
      </w:r>
      <w:r>
        <w:rPr>
          <w:rFonts w:ascii="Calibri" w:hAnsi="Calibri" w:cs="Calibri"/>
          <w:color w:val="000000"/>
        </w:rPr>
        <w:t xml:space="preserve"> </w:t>
      </w:r>
      <w:r w:rsidRPr="00094657">
        <w:rPr>
          <w:rFonts w:ascii="Calibri" w:hAnsi="Calibri" w:cs="Calibri"/>
          <w:color w:val="000000"/>
        </w:rPr>
        <w:t>Springer, Elsevier, Wiley, Taylor</w:t>
      </w:r>
      <w:r>
        <w:rPr>
          <w:rFonts w:ascii="Calibri" w:hAnsi="Calibri" w:cs="Calibri"/>
          <w:color w:val="000000"/>
        </w:rPr>
        <w:t xml:space="preserve"> </w:t>
      </w:r>
      <w:r w:rsidRPr="00094657">
        <w:rPr>
          <w:rFonts w:ascii="Calibri" w:hAnsi="Calibri" w:cs="Calibri"/>
          <w:color w:val="000000"/>
        </w:rPr>
        <w:t xml:space="preserve">&amp; Francis </w:t>
      </w:r>
      <w:r>
        <w:rPr>
          <w:rFonts w:ascii="Calibri" w:hAnsi="Calibri" w:cs="Calibri"/>
          <w:color w:val="000000"/>
        </w:rPr>
        <w:t>och</w:t>
      </w:r>
      <w:r w:rsidRPr="00094657">
        <w:rPr>
          <w:rFonts w:ascii="Calibri" w:hAnsi="Calibri" w:cs="Calibri"/>
          <w:color w:val="000000"/>
        </w:rPr>
        <w:t xml:space="preserve"> </w:t>
      </w:r>
      <w:proofErr w:type="spellStart"/>
      <w:r w:rsidRPr="00094657">
        <w:rPr>
          <w:rFonts w:ascii="Calibri" w:hAnsi="Calibri" w:cs="Calibri"/>
          <w:color w:val="000000"/>
        </w:rPr>
        <w:t>SAGE</w:t>
      </w:r>
      <w:proofErr w:type="spellEnd"/>
      <w:r>
        <w:rPr>
          <w:rFonts w:ascii="Calibri" w:hAnsi="Calibri" w:cs="Calibri"/>
          <w:color w:val="000000"/>
        </w:rPr>
        <w:t xml:space="preserve"> </w:t>
      </w:r>
      <w:r>
        <w:rPr>
          <w:rFonts w:ascii="Calibri" w:hAnsi="Calibri" w:cs="Calibri"/>
          <w:noProof/>
          <w:color w:val="000000"/>
        </w:rPr>
        <w:t>(Kungliga biblioteket, 2019a, s. 7)</w:t>
      </w:r>
      <w:r>
        <w:rPr>
          <w:rFonts w:ascii="Calibri" w:hAnsi="Calibri" w:cs="Calibri"/>
          <w:color w:val="000000"/>
        </w:rPr>
        <w:t>.</w:t>
      </w:r>
      <w:r w:rsidRPr="00094657">
        <w:rPr>
          <w:rFonts w:ascii="Calibri" w:hAnsi="Calibri" w:cs="Calibri"/>
          <w:color w:val="000000"/>
        </w:rPr>
        <w:t xml:space="preserve"> </w:t>
      </w:r>
      <w:r>
        <w:rPr>
          <w:rFonts w:ascii="Calibri" w:hAnsi="Calibri" w:cs="Calibri"/>
          <w:color w:val="000000"/>
        </w:rPr>
        <w:t xml:space="preserve">Då forskningen kräver stora kostnader ligger det i finansiärernas intresse att se att pengarna går dit det ska </w:t>
      </w:r>
      <w:r>
        <w:rPr>
          <w:rFonts w:ascii="Calibri" w:hAnsi="Calibri" w:cs="Calibri"/>
          <w:noProof/>
          <w:color w:val="000000"/>
        </w:rPr>
        <w:t>(Olsson et al., 2020)</w:t>
      </w:r>
      <w:r>
        <w:rPr>
          <w:rFonts w:ascii="Calibri" w:hAnsi="Calibri" w:cs="Calibri"/>
          <w:color w:val="000000"/>
        </w:rPr>
        <w:t xml:space="preserve">. Den vanligaste måttstocken för att bedöma den skattefinansierade forskningens produktivitet och resultat har blivit akademisk publicering, vilket i praktiken blivit med blicken på vetenskapliga artiklar </w:t>
      </w:r>
      <w:r>
        <w:rPr>
          <w:rFonts w:ascii="Calibri" w:hAnsi="Calibri" w:cs="Calibri"/>
          <w:noProof/>
          <w:color w:val="000000"/>
        </w:rPr>
        <w:t>(Berggren, 2016, s. 10)</w:t>
      </w:r>
      <w:r>
        <w:rPr>
          <w:rFonts w:ascii="Calibri" w:hAnsi="Calibri" w:cs="Calibri"/>
          <w:color w:val="000000"/>
        </w:rPr>
        <w:t xml:space="preserve">. De flesta finansiärerna kräver numera att forskningen ska publiceras under OA </w:t>
      </w:r>
      <w:r>
        <w:rPr>
          <w:rFonts w:ascii="Calibri" w:hAnsi="Calibri" w:cs="Calibri"/>
          <w:noProof/>
          <w:color w:val="000000"/>
        </w:rPr>
        <w:t>(Kungliga biblioteket, 2019b, s. 10-11; Sveriges unga akademi, 2022, s. 34; Vetenskapsrådet, 2015, s. 26)</w:t>
      </w:r>
      <w:r>
        <w:rPr>
          <w:rFonts w:ascii="Calibri" w:hAnsi="Calibri" w:cs="Calibri"/>
          <w:color w:val="000000"/>
        </w:rPr>
        <w:t xml:space="preserve">. Att forskningsresultaten ska vara fria har inte enbart ett ekonomiskt incitament utan kan även kopplas till samhällspolitiska och ideologiska grunder </w:t>
      </w:r>
      <w:r>
        <w:rPr>
          <w:rFonts w:ascii="Calibri" w:hAnsi="Calibri" w:cs="Calibri"/>
          <w:noProof/>
          <w:color w:val="000000"/>
        </w:rPr>
        <w:t>(Francke, 2013, s. 23)</w:t>
      </w:r>
      <w:r>
        <w:rPr>
          <w:rFonts w:ascii="Calibri" w:hAnsi="Calibri" w:cs="Calibri"/>
          <w:color w:val="000000"/>
        </w:rPr>
        <w:t xml:space="preserve">. De forskare som varit positivt inställda till OA har sett det som en möjlighet att protestera mot en del stora </w:t>
      </w:r>
      <w:r>
        <w:rPr>
          <w:rFonts w:ascii="Calibri" w:hAnsi="Calibri" w:cs="Calibri"/>
          <w:color w:val="000000"/>
        </w:rPr>
        <w:lastRenderedPageBreak/>
        <w:t xml:space="preserve">kommersiella förlag som Elsevier, som de anser har utnyttjat akademiker med sina stora vinstmarginaler </w:t>
      </w:r>
      <w:r>
        <w:rPr>
          <w:rFonts w:ascii="Calibri" w:hAnsi="Calibri" w:cs="Calibri"/>
          <w:noProof/>
          <w:color w:val="000000"/>
        </w:rPr>
        <w:t>(Mørk Røstvik &amp; Fyfe, 2022, s. 570)</w:t>
      </w:r>
      <w:r>
        <w:rPr>
          <w:rFonts w:ascii="Calibri" w:hAnsi="Calibri" w:cs="Calibri"/>
          <w:color w:val="000000"/>
        </w:rPr>
        <w:t xml:space="preserve">. Som exempel stod Elsevier för 24 % av den akademiska publiceringsmarknaden under 2013 och har haft en stadig vinstmarginal på närmare 40 % under senaste decenniet </w:t>
      </w:r>
      <w:r>
        <w:rPr>
          <w:rFonts w:ascii="Calibri" w:hAnsi="Calibri" w:cs="Calibri"/>
          <w:noProof/>
          <w:color w:val="000000"/>
        </w:rPr>
        <w:t>(Larivière et al., 2015; Page, 2019)</w:t>
      </w:r>
      <w:r>
        <w:rPr>
          <w:rFonts w:ascii="Calibri" w:hAnsi="Calibri" w:cs="Calibri"/>
          <w:color w:val="000000"/>
        </w:rPr>
        <w:t xml:space="preserve">. En anledning till att tidskrifterna kan ha stora vinstmarginaler beror på att de inte behöver betala för innehållet. Forskarnas löner och kostnaderna som krävs för att utföra forskningen betalas av anslag från forskningsfinansiärer, vilket i många fall är skattefinansierat </w:t>
      </w:r>
      <w:r>
        <w:rPr>
          <w:rFonts w:ascii="Calibri" w:hAnsi="Calibri" w:cs="Calibri"/>
          <w:noProof/>
          <w:color w:val="000000"/>
        </w:rPr>
        <w:t>(Francke, 2013, s. 24; Hagve, 2020)</w:t>
      </w:r>
      <w:r>
        <w:rPr>
          <w:rFonts w:ascii="Calibri" w:hAnsi="Calibri" w:cs="Calibri"/>
          <w:color w:val="000000"/>
        </w:rPr>
        <w:t xml:space="preserve">. Dessutom brukar </w:t>
      </w:r>
      <w:proofErr w:type="spellStart"/>
      <w:r>
        <w:rPr>
          <w:rFonts w:ascii="Calibri" w:hAnsi="Calibri" w:cs="Calibri"/>
          <w:color w:val="000000"/>
        </w:rPr>
        <w:t>peer</w:t>
      </w:r>
      <w:proofErr w:type="spellEnd"/>
      <w:r>
        <w:rPr>
          <w:rFonts w:ascii="Calibri" w:hAnsi="Calibri" w:cs="Calibri"/>
          <w:color w:val="000000"/>
        </w:rPr>
        <w:t>-</w:t>
      </w:r>
      <w:proofErr w:type="spellStart"/>
      <w:r>
        <w:rPr>
          <w:rFonts w:ascii="Calibri" w:hAnsi="Calibri" w:cs="Calibri"/>
          <w:color w:val="000000"/>
        </w:rPr>
        <w:t>review</w:t>
      </w:r>
      <w:proofErr w:type="spellEnd"/>
      <w:r>
        <w:rPr>
          <w:rFonts w:ascii="Calibri" w:hAnsi="Calibri" w:cs="Calibri"/>
          <w:color w:val="000000"/>
        </w:rPr>
        <w:t xml:space="preserve">-processen ske ideellt och utgivningen är främst digital så förlagen har inga tryckkostnader. För att bli publicerad </w:t>
      </w:r>
      <w:proofErr w:type="gramStart"/>
      <w:r>
        <w:rPr>
          <w:rFonts w:ascii="Calibri" w:hAnsi="Calibri" w:cs="Calibri"/>
          <w:color w:val="000000"/>
        </w:rPr>
        <w:t>betalar forskarna</w:t>
      </w:r>
      <w:proofErr w:type="gramEnd"/>
      <w:r>
        <w:rPr>
          <w:rFonts w:ascii="Calibri" w:hAnsi="Calibri" w:cs="Calibri"/>
          <w:color w:val="000000"/>
        </w:rPr>
        <w:t xml:space="preserve"> tidskriften och för över sina ekonomiska rättigheter till förlaget </w:t>
      </w:r>
      <w:r>
        <w:rPr>
          <w:rFonts w:ascii="Calibri" w:hAnsi="Calibri" w:cs="Calibri"/>
          <w:noProof/>
          <w:color w:val="000000"/>
        </w:rPr>
        <w:t>(Suber, 2012, s. 130)</w:t>
      </w:r>
      <w:r>
        <w:rPr>
          <w:rFonts w:ascii="Calibri" w:hAnsi="Calibri" w:cs="Calibri"/>
          <w:color w:val="000000"/>
        </w:rPr>
        <w:t xml:space="preserve">. </w:t>
      </w:r>
    </w:p>
    <w:p w14:paraId="765559D2" w14:textId="77777777" w:rsidR="00A626A8" w:rsidRPr="00C400C4" w:rsidRDefault="00A626A8" w:rsidP="005327BC">
      <w:pPr>
        <w:rPr>
          <w:rFonts w:asciiTheme="minorHAnsi" w:hAnsiTheme="minorHAnsi" w:cstheme="minorHAnsi"/>
        </w:rPr>
      </w:pPr>
      <w:r>
        <w:rPr>
          <w:rFonts w:ascii="Calibri" w:hAnsi="Calibri" w:cs="Calibri"/>
          <w:color w:val="000000"/>
        </w:rPr>
        <w:t xml:space="preserve">För att få tillgång till forskningsresultaten behöver universiteten betala för åtkomsten till artiklarna som publiceras </w:t>
      </w:r>
      <w:r>
        <w:rPr>
          <w:rFonts w:ascii="Calibri" w:hAnsi="Calibri" w:cs="Calibri"/>
          <w:noProof/>
          <w:color w:val="000000"/>
        </w:rPr>
        <w:t>(Kungliga biblioteket, 2019b, s. 30)</w:t>
      </w:r>
      <w:r>
        <w:rPr>
          <w:rFonts w:ascii="Calibri" w:hAnsi="Calibri" w:cs="Calibri"/>
          <w:color w:val="000000"/>
        </w:rPr>
        <w:t xml:space="preserve">. Inget enskilt lärosäte skulle ha råd att betala för åtkomst till alla ca 25 000 vetenskapliga tidskrifter som finns och bland allmänheten är åtkomsten till vetenskapliga publikationer begränsad </w:t>
      </w:r>
      <w:r>
        <w:rPr>
          <w:rFonts w:ascii="Calibri" w:hAnsi="Calibri" w:cs="Calibri"/>
          <w:noProof/>
          <w:color w:val="000000"/>
        </w:rPr>
        <w:t>(Finch et al., 2013)</w:t>
      </w:r>
      <w:r>
        <w:rPr>
          <w:rFonts w:ascii="Calibri" w:hAnsi="Calibri" w:cs="Calibri"/>
          <w:color w:val="000000"/>
        </w:rPr>
        <w:t xml:space="preserve">. Bland de fem största förlagen kostar åtkomst till en enskild artikel mellan </w:t>
      </w:r>
      <w:proofErr w:type="gramStart"/>
      <w:r>
        <w:rPr>
          <w:rFonts w:ascii="Calibri" w:hAnsi="Calibri" w:cs="Calibri"/>
          <w:color w:val="000000"/>
        </w:rPr>
        <w:t>320-550</w:t>
      </w:r>
      <w:proofErr w:type="gramEnd"/>
      <w:r>
        <w:rPr>
          <w:rFonts w:ascii="Calibri" w:hAnsi="Calibri" w:cs="Calibri"/>
          <w:color w:val="000000"/>
        </w:rPr>
        <w:t xml:space="preserve"> kronor </w:t>
      </w:r>
      <w:r>
        <w:rPr>
          <w:rFonts w:ascii="Calibri" w:hAnsi="Calibri" w:cs="Calibri"/>
          <w:noProof/>
          <w:color w:val="000000"/>
        </w:rPr>
        <w:t>(Hagve, 2020)</w:t>
      </w:r>
      <w:r>
        <w:rPr>
          <w:rFonts w:ascii="Calibri" w:hAnsi="Calibri" w:cs="Calibri"/>
          <w:color w:val="000000"/>
        </w:rPr>
        <w:t>.</w:t>
      </w:r>
      <w:r w:rsidRPr="005327BC">
        <w:rPr>
          <w:rFonts w:ascii="Calibri" w:hAnsi="Calibri" w:cs="Calibri"/>
          <w:color w:val="000000"/>
        </w:rPr>
        <w:t xml:space="preserve"> </w:t>
      </w:r>
      <w:r>
        <w:rPr>
          <w:rFonts w:ascii="Calibri" w:hAnsi="Calibri" w:cs="Calibri"/>
          <w:color w:val="000000"/>
        </w:rPr>
        <w:t xml:space="preserve">Avtalen med de största förlagen </w:t>
      </w:r>
      <w:r>
        <w:rPr>
          <w:rFonts w:asciiTheme="minorHAnsi" w:hAnsiTheme="minorHAnsi" w:cstheme="minorHAnsi"/>
        </w:rPr>
        <w:t xml:space="preserve">gör att biblioteken inte har råd med singelprenumerationer med mindre förlag, nystartade förlag har svårt för att etablera sig och i förlängningen kommer </w:t>
      </w:r>
      <w:proofErr w:type="spellStart"/>
      <w:r>
        <w:rPr>
          <w:rFonts w:asciiTheme="minorHAnsi" w:hAnsiTheme="minorHAnsi" w:cstheme="minorHAnsi"/>
        </w:rPr>
        <w:t>impact</w:t>
      </w:r>
      <w:proofErr w:type="spellEnd"/>
      <w:r>
        <w:rPr>
          <w:rFonts w:asciiTheme="minorHAnsi" w:hAnsiTheme="minorHAnsi" w:cstheme="minorHAnsi"/>
        </w:rPr>
        <w:t xml:space="preserve"> </w:t>
      </w:r>
      <w:proofErr w:type="spellStart"/>
      <w:r>
        <w:rPr>
          <w:rFonts w:asciiTheme="minorHAnsi" w:hAnsiTheme="minorHAnsi" w:cstheme="minorHAnsi"/>
        </w:rPr>
        <w:t>factor</w:t>
      </w:r>
      <w:proofErr w:type="spellEnd"/>
      <w:r>
        <w:rPr>
          <w:rFonts w:asciiTheme="minorHAnsi" w:hAnsiTheme="minorHAnsi" w:cstheme="minorHAnsi"/>
        </w:rPr>
        <w:t xml:space="preserve"> stärkas för de största förlagens tidskrifter eftersom det är dess artiklar som forskare kommer åt </w:t>
      </w:r>
      <w:r>
        <w:rPr>
          <w:rFonts w:asciiTheme="minorHAnsi" w:hAnsiTheme="minorHAnsi" w:cstheme="minorHAnsi"/>
          <w:noProof/>
        </w:rPr>
        <w:t>(Lund &amp; Zukerfeld, 2020, s. 154-155)</w:t>
      </w:r>
      <w:r>
        <w:rPr>
          <w:rFonts w:asciiTheme="minorHAnsi" w:hAnsiTheme="minorHAnsi" w:cstheme="minorHAnsi"/>
        </w:rPr>
        <w:t xml:space="preserve">. </w:t>
      </w:r>
      <w:r>
        <w:rPr>
          <w:rFonts w:ascii="Calibri" w:hAnsi="Calibri" w:cs="Calibri"/>
          <w:color w:val="000000"/>
        </w:rPr>
        <w:t xml:space="preserve">De höga kostnaderna är en anledning till att OA har setts som lösningen till en dyr affärsmodell. I Sverige har </w:t>
      </w:r>
      <w:proofErr w:type="spellStart"/>
      <w:r>
        <w:rPr>
          <w:rFonts w:ascii="Calibri" w:hAnsi="Calibri" w:cs="Calibri"/>
          <w:color w:val="000000"/>
        </w:rPr>
        <w:t>Bibsam</w:t>
      </w:r>
      <w:proofErr w:type="spellEnd"/>
      <w:r>
        <w:rPr>
          <w:rFonts w:ascii="Calibri" w:hAnsi="Calibri" w:cs="Calibri"/>
          <w:color w:val="000000"/>
        </w:rPr>
        <w:t xml:space="preserve"> haft som mål att all utgivning ska ske som OA till år 2020 </w:t>
      </w:r>
      <w:r>
        <w:rPr>
          <w:rFonts w:ascii="Calibri" w:hAnsi="Calibri" w:cs="Calibri"/>
          <w:noProof/>
          <w:color w:val="000000"/>
        </w:rPr>
        <w:t>(Olsson et al., 2020)</w:t>
      </w:r>
      <w:r>
        <w:rPr>
          <w:rFonts w:ascii="Calibri" w:hAnsi="Calibri" w:cs="Calibri"/>
          <w:color w:val="000000"/>
        </w:rPr>
        <w:t xml:space="preserve">. 2017 fick Kungliga biblioteket ett direktiv från regeringen att fungera som ett nationellt samordningsorgan med en strävan för omedelbar OA för all forskningsproduktion till 2026 </w:t>
      </w:r>
      <w:r>
        <w:rPr>
          <w:rFonts w:ascii="Calibri" w:hAnsi="Calibri" w:cs="Calibri"/>
          <w:noProof/>
          <w:color w:val="000000"/>
        </w:rPr>
        <w:t>(Lundén et al., 2018)</w:t>
      </w:r>
      <w:r>
        <w:rPr>
          <w:rFonts w:ascii="Calibri" w:hAnsi="Calibri" w:cs="Calibri"/>
          <w:color w:val="000000"/>
        </w:rPr>
        <w:t xml:space="preserve">. </w:t>
      </w:r>
    </w:p>
    <w:p w14:paraId="4363C15A" w14:textId="77777777" w:rsidR="00A626A8" w:rsidRDefault="00A626A8" w:rsidP="003D76E5">
      <w:pPr>
        <w:rPr>
          <w:rFonts w:ascii="Calibri" w:hAnsi="Calibri" w:cs="Calibri"/>
          <w:color w:val="000000"/>
        </w:rPr>
      </w:pPr>
    </w:p>
    <w:p w14:paraId="64FD8178" w14:textId="77777777" w:rsidR="00A626A8" w:rsidRDefault="00A626A8" w:rsidP="003D76E5">
      <w:pPr>
        <w:rPr>
          <w:rFonts w:ascii="Calibri" w:hAnsi="Calibri" w:cs="Calibri"/>
          <w:color w:val="000000"/>
        </w:rPr>
      </w:pPr>
    </w:p>
    <w:p w14:paraId="6C5CC862" w14:textId="77777777" w:rsidR="00A626A8" w:rsidRDefault="00A626A8" w:rsidP="005327BC">
      <w:pPr>
        <w:pStyle w:val="Rubrik3"/>
      </w:pPr>
      <w:proofErr w:type="spellStart"/>
      <w:r>
        <w:t>Open</w:t>
      </w:r>
      <w:proofErr w:type="spellEnd"/>
      <w:r>
        <w:t xml:space="preserve"> Access</w:t>
      </w:r>
    </w:p>
    <w:p w14:paraId="3E80581B" w14:textId="77777777" w:rsidR="00A626A8" w:rsidRDefault="00A626A8" w:rsidP="005853F8">
      <w:pPr>
        <w:rPr>
          <w:rFonts w:ascii="Calibri" w:hAnsi="Calibri" w:cs="Calibri"/>
          <w:color w:val="000000"/>
        </w:rPr>
      </w:pPr>
      <w:r>
        <w:rPr>
          <w:rFonts w:ascii="Calibri" w:hAnsi="Calibri" w:cs="Calibri"/>
          <w:color w:val="000000"/>
        </w:rPr>
        <w:t xml:space="preserve">Med bakgrund till hur den traditionella publiceringsmodellen ser ut är det inte konstigt att röster höjs för en förändring som blir ekonomisk försvarbar för de som betalar. </w:t>
      </w:r>
      <w:r w:rsidRPr="00B7368B">
        <w:rPr>
          <w:rFonts w:ascii="Calibri" w:hAnsi="Calibri" w:cs="Calibri"/>
          <w:color w:val="000000"/>
        </w:rPr>
        <w:t>De som underteckna</w:t>
      </w:r>
      <w:r>
        <w:rPr>
          <w:rFonts w:ascii="Calibri" w:hAnsi="Calibri" w:cs="Calibri"/>
          <w:color w:val="000000"/>
        </w:rPr>
        <w:t>de</w:t>
      </w:r>
      <w:r w:rsidRPr="00B7368B">
        <w:rPr>
          <w:rFonts w:ascii="Calibri" w:hAnsi="Calibri" w:cs="Calibri"/>
          <w:color w:val="000000"/>
        </w:rPr>
        <w:t xml:space="preserve"> </w:t>
      </w:r>
      <w:r>
        <w:rPr>
          <w:rFonts w:ascii="Calibri" w:hAnsi="Calibri" w:cs="Calibri"/>
          <w:color w:val="000000"/>
        </w:rPr>
        <w:t xml:space="preserve">deklarationen </w:t>
      </w:r>
      <w:r w:rsidRPr="00B7368B">
        <w:rPr>
          <w:rFonts w:ascii="Calibri" w:hAnsi="Calibri" w:cs="Calibri"/>
          <w:color w:val="000000"/>
        </w:rPr>
        <w:t xml:space="preserve">Budapest </w:t>
      </w:r>
      <w:proofErr w:type="spellStart"/>
      <w:r w:rsidRPr="00B7368B">
        <w:rPr>
          <w:rFonts w:ascii="Calibri" w:hAnsi="Calibri" w:cs="Calibri"/>
          <w:color w:val="000000"/>
        </w:rPr>
        <w:t>Open</w:t>
      </w:r>
      <w:proofErr w:type="spellEnd"/>
      <w:r w:rsidRPr="00B7368B">
        <w:rPr>
          <w:rFonts w:ascii="Calibri" w:hAnsi="Calibri" w:cs="Calibri"/>
          <w:color w:val="000000"/>
        </w:rPr>
        <w:t xml:space="preserve"> Access </w:t>
      </w:r>
      <w:proofErr w:type="spellStart"/>
      <w:r w:rsidRPr="00B7368B">
        <w:rPr>
          <w:rFonts w:ascii="Calibri" w:hAnsi="Calibri" w:cs="Calibri"/>
          <w:color w:val="000000"/>
        </w:rPr>
        <w:t>Initiative</w:t>
      </w:r>
      <w:proofErr w:type="spellEnd"/>
      <w:r w:rsidRPr="00B7368B">
        <w:rPr>
          <w:rFonts w:ascii="Calibri" w:hAnsi="Calibri" w:cs="Calibri"/>
          <w:color w:val="000000"/>
        </w:rPr>
        <w:t xml:space="preserve"> </w:t>
      </w:r>
      <w:r>
        <w:rPr>
          <w:rFonts w:ascii="Calibri" w:hAnsi="Calibri" w:cs="Calibri"/>
          <w:noProof/>
          <w:color w:val="000000"/>
        </w:rPr>
        <w:t>(2002)</w:t>
      </w:r>
      <w:r>
        <w:rPr>
          <w:rFonts w:ascii="Calibri" w:hAnsi="Calibri" w:cs="Calibri"/>
          <w:color w:val="000000"/>
        </w:rPr>
        <w:t xml:space="preserve"> menade att den nya tekniken skulle göra den digitala distributionen av vetenskapliga artiklar till ekonomiskt genomförbar och att alla får helt fri och obegränsad tillgång till vetenskaplig forskning. Efter Budapestdeklaration kom andra deklarationer, bland annat Berlindeklarationen om </w:t>
      </w:r>
      <w:proofErr w:type="spellStart"/>
      <w:r>
        <w:rPr>
          <w:rFonts w:ascii="Calibri" w:hAnsi="Calibri" w:cs="Calibri"/>
          <w:color w:val="000000"/>
        </w:rPr>
        <w:t>Open</w:t>
      </w:r>
      <w:proofErr w:type="spellEnd"/>
      <w:r>
        <w:rPr>
          <w:rFonts w:ascii="Calibri" w:hAnsi="Calibri" w:cs="Calibri"/>
          <w:color w:val="000000"/>
        </w:rPr>
        <w:t xml:space="preserve"> Access som Vetenskapsrådet skrev under 2005 </w:t>
      </w:r>
      <w:r>
        <w:rPr>
          <w:rFonts w:ascii="Calibri" w:hAnsi="Calibri" w:cs="Calibri"/>
          <w:noProof/>
          <w:color w:val="000000"/>
        </w:rPr>
        <w:t>(Francke, 2013, s. 31)</w:t>
      </w:r>
      <w:r>
        <w:rPr>
          <w:rFonts w:ascii="Calibri" w:hAnsi="Calibri" w:cs="Calibri"/>
          <w:color w:val="000000"/>
        </w:rPr>
        <w:t>. En följd av det blev att Vetenskapsrådet med start 2010 ställde krav på att de som fått ekonomiskt stöd av rådet skulle se till att deras artiklar var fritt tillgängliga inom sex månader efter publiceringen.</w:t>
      </w:r>
    </w:p>
    <w:p w14:paraId="5CC0CB10" w14:textId="77777777" w:rsidR="00A626A8" w:rsidRPr="00B7368B" w:rsidRDefault="00A626A8" w:rsidP="005853F8">
      <w:pPr>
        <w:rPr>
          <w:rFonts w:ascii="Calibri" w:hAnsi="Calibri" w:cs="Calibri"/>
          <w:color w:val="000000"/>
        </w:rPr>
      </w:pPr>
    </w:p>
    <w:p w14:paraId="6B3B1B0C" w14:textId="77777777" w:rsidR="00A626A8" w:rsidRDefault="00A626A8" w:rsidP="003D76E5">
      <w:pPr>
        <w:rPr>
          <w:rFonts w:ascii="Calibri" w:hAnsi="Calibri" w:cs="Calibri"/>
          <w:color w:val="000000"/>
        </w:rPr>
      </w:pPr>
      <w:r w:rsidRPr="007C6B51">
        <w:rPr>
          <w:rFonts w:ascii="Calibri" w:hAnsi="Calibri" w:cs="Calibri"/>
          <w:color w:val="000000"/>
        </w:rPr>
        <w:t xml:space="preserve">En </w:t>
      </w:r>
      <w:r>
        <w:rPr>
          <w:rFonts w:ascii="Calibri" w:hAnsi="Calibri" w:cs="Calibri"/>
          <w:color w:val="000000"/>
        </w:rPr>
        <w:t xml:space="preserve">tidig </w:t>
      </w:r>
      <w:r w:rsidRPr="007C6B51">
        <w:rPr>
          <w:rFonts w:ascii="Calibri" w:hAnsi="Calibri" w:cs="Calibri"/>
          <w:color w:val="000000"/>
        </w:rPr>
        <w:t xml:space="preserve">omfattande studie av </w:t>
      </w:r>
      <w:r>
        <w:rPr>
          <w:rFonts w:ascii="Calibri" w:hAnsi="Calibri" w:cs="Calibri"/>
          <w:color w:val="000000"/>
        </w:rPr>
        <w:t xml:space="preserve">OA-politikens ekonomiska effekter uppskattade att en övergång till </w:t>
      </w:r>
      <w:proofErr w:type="spellStart"/>
      <w:r>
        <w:rPr>
          <w:rFonts w:ascii="Calibri" w:hAnsi="Calibri" w:cs="Calibri"/>
          <w:color w:val="000000"/>
        </w:rPr>
        <w:t>Open</w:t>
      </w:r>
      <w:proofErr w:type="spellEnd"/>
      <w:r>
        <w:rPr>
          <w:rFonts w:ascii="Calibri" w:hAnsi="Calibri" w:cs="Calibri"/>
          <w:color w:val="000000"/>
        </w:rPr>
        <w:t xml:space="preserve"> Access inte bara skulle betala för sig själv utan även inbringa 1,7 miljarder dollar till den brittiska ekonomin och 16 miljarder dollar till den amerikanska ekonomin </w:t>
      </w:r>
      <w:r>
        <w:rPr>
          <w:rFonts w:ascii="Calibri" w:hAnsi="Calibri" w:cs="Calibri"/>
          <w:noProof/>
          <w:color w:val="000000"/>
        </w:rPr>
        <w:t>(Houghton &amp; Sheehan, 2006)</w:t>
      </w:r>
      <w:r>
        <w:rPr>
          <w:rFonts w:ascii="Calibri" w:hAnsi="Calibri" w:cs="Calibri"/>
          <w:color w:val="000000"/>
        </w:rPr>
        <w:t xml:space="preserve">. Kritik som har förts fram mot OA är att det inte nödvändigtvis sänker publiceringskostnaderna och att det finns många OA-tidskrifter med kvalitetsbrister som inte granskar sina artiklar ordentligt innan de publicerar dem </w:t>
      </w:r>
      <w:r>
        <w:rPr>
          <w:rFonts w:ascii="Calibri" w:hAnsi="Calibri" w:cs="Calibri"/>
          <w:noProof/>
          <w:color w:val="000000"/>
        </w:rPr>
        <w:t>(Hagve, 2020)</w:t>
      </w:r>
      <w:r>
        <w:rPr>
          <w:rFonts w:ascii="Calibri" w:hAnsi="Calibri" w:cs="Calibri"/>
          <w:color w:val="000000"/>
        </w:rPr>
        <w:t xml:space="preserve">. Den traditionella publiceringsmodellen där forskaren ger bort sin ekonomiska rättighet till förlagen har gjort att forskarna inte förväntar sig några intäkter från tidskriftsartiklar. Forskarnas incitament till att publicera sig har istället varit kunskapsdelning, förbättra sitt rykte och att bygga en portfolio som kan ligga till grund för befordran och anställningar </w:t>
      </w:r>
      <w:r>
        <w:rPr>
          <w:rFonts w:ascii="Calibri" w:hAnsi="Calibri" w:cs="Calibri"/>
          <w:noProof/>
          <w:color w:val="000000"/>
        </w:rPr>
        <w:lastRenderedPageBreak/>
        <w:t>(Suber, 2012, s. 130)</w:t>
      </w:r>
      <w:r>
        <w:rPr>
          <w:rFonts w:ascii="Calibri" w:hAnsi="Calibri" w:cs="Calibri"/>
          <w:color w:val="000000"/>
        </w:rPr>
        <w:t xml:space="preserve">. När forskarna inte äger sina egna artiklar blir steget för att publicera fritt tillgängligt med </w:t>
      </w:r>
      <w:proofErr w:type="spellStart"/>
      <w:r>
        <w:rPr>
          <w:rFonts w:ascii="Calibri" w:hAnsi="Calibri" w:cs="Calibri"/>
          <w:color w:val="000000"/>
        </w:rPr>
        <w:t>Open</w:t>
      </w:r>
      <w:proofErr w:type="spellEnd"/>
      <w:r>
        <w:rPr>
          <w:rFonts w:ascii="Calibri" w:hAnsi="Calibri" w:cs="Calibri"/>
          <w:color w:val="000000"/>
        </w:rPr>
        <w:t xml:space="preserve"> Access mindre.</w:t>
      </w:r>
    </w:p>
    <w:p w14:paraId="55898D53" w14:textId="77777777" w:rsidR="00A626A8" w:rsidRDefault="00A626A8" w:rsidP="003D76E5">
      <w:pPr>
        <w:rPr>
          <w:rFonts w:ascii="Calibri" w:hAnsi="Calibri" w:cs="Calibri"/>
          <w:color w:val="000000"/>
        </w:rPr>
      </w:pPr>
    </w:p>
    <w:p w14:paraId="18FF8DA2" w14:textId="77777777" w:rsidR="00A626A8" w:rsidRPr="0032413A" w:rsidRDefault="00A626A8" w:rsidP="009948C1">
      <w:pPr>
        <w:rPr>
          <w:rFonts w:ascii="Calibri" w:hAnsi="Calibri" w:cs="Calibri"/>
          <w:color w:val="000000"/>
        </w:rPr>
      </w:pPr>
      <w:r>
        <w:rPr>
          <w:rFonts w:ascii="Calibri" w:hAnsi="Calibri" w:cs="Calibri"/>
          <w:color w:val="000000"/>
        </w:rPr>
        <w:t xml:space="preserve">För att beskriva de olika </w:t>
      </w:r>
      <w:proofErr w:type="spellStart"/>
      <w:r>
        <w:rPr>
          <w:rFonts w:ascii="Calibri" w:hAnsi="Calibri" w:cs="Calibri"/>
          <w:color w:val="000000"/>
        </w:rPr>
        <w:t>Open</w:t>
      </w:r>
      <w:proofErr w:type="spellEnd"/>
      <w:r>
        <w:rPr>
          <w:rFonts w:ascii="Calibri" w:hAnsi="Calibri" w:cs="Calibri"/>
          <w:color w:val="000000"/>
        </w:rPr>
        <w:t xml:space="preserve"> Access-modellerna används ofta färger. Guld OA, som även kallas för ren eller full OA, som innebär att förlaget gör alla artiklar fritt tillgängliga i samband med publiceringen. Grön OA innebär att självarkivering eller parallellpublicering i ett </w:t>
      </w:r>
      <w:proofErr w:type="spellStart"/>
      <w:r>
        <w:rPr>
          <w:rFonts w:ascii="Calibri" w:hAnsi="Calibri" w:cs="Calibri"/>
          <w:color w:val="000000"/>
        </w:rPr>
        <w:t>repositorium</w:t>
      </w:r>
      <w:proofErr w:type="spellEnd"/>
      <w:r>
        <w:rPr>
          <w:rFonts w:ascii="Calibri" w:hAnsi="Calibri" w:cs="Calibri"/>
          <w:color w:val="000000"/>
        </w:rPr>
        <w:t xml:space="preserve"> är tillåtet efter </w:t>
      </w:r>
      <w:proofErr w:type="spellStart"/>
      <w:r>
        <w:rPr>
          <w:rFonts w:ascii="Calibri" w:hAnsi="Calibri" w:cs="Calibri"/>
          <w:color w:val="000000"/>
        </w:rPr>
        <w:t>peer</w:t>
      </w:r>
      <w:proofErr w:type="spellEnd"/>
      <w:r>
        <w:rPr>
          <w:rFonts w:ascii="Calibri" w:hAnsi="Calibri" w:cs="Calibri"/>
          <w:color w:val="000000"/>
        </w:rPr>
        <w:t xml:space="preserve"> </w:t>
      </w:r>
      <w:proofErr w:type="spellStart"/>
      <w:r>
        <w:rPr>
          <w:rFonts w:ascii="Calibri" w:hAnsi="Calibri" w:cs="Calibri"/>
          <w:color w:val="000000"/>
        </w:rPr>
        <w:t>review</w:t>
      </w:r>
      <w:proofErr w:type="spellEnd"/>
      <w:r>
        <w:rPr>
          <w:rFonts w:ascii="Calibri" w:hAnsi="Calibri" w:cs="Calibri"/>
          <w:color w:val="000000"/>
        </w:rPr>
        <w:t xml:space="preserve">-processen </w:t>
      </w:r>
      <w:r>
        <w:rPr>
          <w:rFonts w:ascii="Calibri" w:hAnsi="Calibri" w:cs="Calibri"/>
          <w:noProof/>
          <w:color w:val="000000"/>
        </w:rPr>
        <w:t>(Björk et al., 2014; Kungliga biblioteket, 2019b, s. 18; Suber, 2012, s. 6; Vetenskapsrådet, 2015, s. 26)</w:t>
      </w:r>
      <w:r>
        <w:rPr>
          <w:rFonts w:ascii="Calibri" w:hAnsi="Calibri" w:cs="Calibri"/>
          <w:color w:val="000000"/>
        </w:rPr>
        <w:t xml:space="preserve">. En begränsning med Grön OA är att versionen som finns i </w:t>
      </w:r>
      <w:proofErr w:type="spellStart"/>
      <w:r>
        <w:rPr>
          <w:rFonts w:ascii="Calibri" w:hAnsi="Calibri" w:cs="Calibri"/>
          <w:color w:val="000000"/>
        </w:rPr>
        <w:t>repositoriet</w:t>
      </w:r>
      <w:proofErr w:type="spellEnd"/>
      <w:r>
        <w:rPr>
          <w:rFonts w:ascii="Calibri" w:hAnsi="Calibri" w:cs="Calibri"/>
          <w:color w:val="000000"/>
        </w:rPr>
        <w:t xml:space="preserve"> inte har exakt samma utformning som den publicerade versionen, vilket gör att universitetet vid något skede ändå kan behöva köpa in artikeln </w:t>
      </w:r>
      <w:r>
        <w:rPr>
          <w:rFonts w:ascii="Calibri" w:hAnsi="Calibri" w:cs="Calibri"/>
          <w:noProof/>
          <w:color w:val="000000"/>
        </w:rPr>
        <w:t>(Hall, 2012)</w:t>
      </w:r>
      <w:r>
        <w:rPr>
          <w:rFonts w:ascii="Calibri" w:hAnsi="Calibri" w:cs="Calibri"/>
          <w:color w:val="000000"/>
        </w:rPr>
        <w:t xml:space="preserve">. När </w:t>
      </w:r>
      <w:r w:rsidRPr="005C405D">
        <w:rPr>
          <w:rFonts w:ascii="Calibri" w:hAnsi="Calibri" w:cs="Calibri"/>
          <w:color w:val="000000"/>
        </w:rPr>
        <w:t xml:space="preserve">Europeiska kommissionens forskningsprogram Horisont 2020 </w:t>
      </w:r>
      <w:r>
        <w:rPr>
          <w:rFonts w:ascii="Calibri" w:hAnsi="Calibri" w:cs="Calibri"/>
          <w:color w:val="000000"/>
        </w:rPr>
        <w:t>publicerades</w:t>
      </w:r>
      <w:r w:rsidRPr="005C405D">
        <w:rPr>
          <w:rFonts w:ascii="Calibri" w:hAnsi="Calibri" w:cs="Calibri"/>
          <w:color w:val="000000"/>
        </w:rPr>
        <w:t xml:space="preserve"> började fokus att skifta från </w:t>
      </w:r>
      <w:r>
        <w:rPr>
          <w:rFonts w:ascii="Calibri" w:hAnsi="Calibri" w:cs="Calibri"/>
          <w:color w:val="000000"/>
        </w:rPr>
        <w:t>G</w:t>
      </w:r>
      <w:r w:rsidRPr="005C405D">
        <w:rPr>
          <w:rFonts w:ascii="Calibri" w:hAnsi="Calibri" w:cs="Calibri"/>
          <w:color w:val="000000"/>
        </w:rPr>
        <w:t xml:space="preserve">rön till </w:t>
      </w:r>
      <w:r>
        <w:rPr>
          <w:rFonts w:ascii="Calibri" w:hAnsi="Calibri" w:cs="Calibri"/>
          <w:color w:val="000000"/>
        </w:rPr>
        <w:t>G</w:t>
      </w:r>
      <w:r w:rsidRPr="005C405D">
        <w:rPr>
          <w:rFonts w:ascii="Calibri" w:hAnsi="Calibri" w:cs="Calibri"/>
          <w:color w:val="000000"/>
        </w:rPr>
        <w:t>uld OA</w:t>
      </w:r>
      <w:r>
        <w:rPr>
          <w:rFonts w:ascii="Calibri" w:hAnsi="Calibri" w:cs="Calibri"/>
          <w:color w:val="000000"/>
        </w:rPr>
        <w:t xml:space="preserve"> </w:t>
      </w:r>
      <w:r>
        <w:rPr>
          <w:rFonts w:ascii="Calibri" w:hAnsi="Calibri" w:cs="Calibri"/>
          <w:noProof/>
          <w:color w:val="000000"/>
        </w:rPr>
        <w:t>(Lund &amp; Zukerfeld, 2020, s. 159)</w:t>
      </w:r>
      <w:r>
        <w:rPr>
          <w:rFonts w:ascii="Calibri" w:hAnsi="Calibri" w:cs="Calibri"/>
          <w:color w:val="000000"/>
        </w:rPr>
        <w:t>.</w:t>
      </w:r>
    </w:p>
    <w:p w14:paraId="1EE94995" w14:textId="77777777" w:rsidR="00A626A8" w:rsidRDefault="00A626A8" w:rsidP="003D76E5">
      <w:pPr>
        <w:rPr>
          <w:rFonts w:ascii="Calibri" w:hAnsi="Calibri" w:cs="Calibri"/>
          <w:color w:val="000000"/>
        </w:rPr>
      </w:pPr>
    </w:p>
    <w:p w14:paraId="76B8A8C6" w14:textId="77777777" w:rsidR="00A626A8" w:rsidRDefault="00A626A8" w:rsidP="00A57009">
      <w:pPr>
        <w:rPr>
          <w:rFonts w:ascii="Calibri" w:hAnsi="Calibri" w:cs="Calibri"/>
          <w:color w:val="000000"/>
        </w:rPr>
      </w:pPr>
      <w:r>
        <w:rPr>
          <w:rFonts w:ascii="Calibri" w:hAnsi="Calibri" w:cs="Calibri"/>
          <w:color w:val="000000"/>
        </w:rPr>
        <w:t xml:space="preserve">Övergången till ett dominerande öppet publiceringslandskap har inte gått snabbt, för att skynda på processen släpptes en omfattande rapport i Storbritannien 2012 ledd av Janet Finch </w:t>
      </w:r>
      <w:r>
        <w:rPr>
          <w:rFonts w:ascii="Calibri" w:hAnsi="Calibri" w:cs="Calibri"/>
          <w:noProof/>
          <w:color w:val="000000"/>
        </w:rPr>
        <w:t>(Finch et al., 2013)</w:t>
      </w:r>
      <w:r>
        <w:rPr>
          <w:rFonts w:ascii="Calibri" w:hAnsi="Calibri" w:cs="Calibri"/>
          <w:color w:val="000000"/>
        </w:rPr>
        <w:t>. I rapporten slogs det fast att resultaten av offentligt finansierad forskning bör vara tillgänglig för allmänheten och att främst Guld OA borde användas</w:t>
      </w:r>
      <w:r w:rsidRPr="002C5AB3">
        <w:rPr>
          <w:rFonts w:ascii="Calibri" w:hAnsi="Calibri" w:cs="Calibri"/>
          <w:color w:val="000000"/>
        </w:rPr>
        <w:t xml:space="preserve"> </w:t>
      </w:r>
      <w:r>
        <w:rPr>
          <w:rFonts w:ascii="Calibri" w:hAnsi="Calibri" w:cs="Calibri"/>
          <w:color w:val="000000"/>
        </w:rPr>
        <w:t xml:space="preserve">som publiceringsmodell. Det föreslogs även att förlagens kostnader för Guld OA skulle täckas av författaravgifter istället för av biblioteksprenumerationer. I en utredning </w:t>
      </w:r>
      <w:r w:rsidRPr="00D94B12">
        <w:rPr>
          <w:rFonts w:ascii="Calibri" w:hAnsi="Calibri" w:cs="Calibri"/>
          <w:color w:val="000000"/>
        </w:rPr>
        <w:t>av</w:t>
      </w:r>
      <w:r>
        <w:rPr>
          <w:rFonts w:ascii="Calibri" w:hAnsi="Calibri" w:cs="Calibri"/>
          <w:color w:val="000000"/>
        </w:rPr>
        <w:t xml:space="preserve"> </w:t>
      </w:r>
      <w:r w:rsidRPr="00D94B12">
        <w:rPr>
          <w:rFonts w:ascii="Calibri" w:hAnsi="Calibri" w:cs="Calibri"/>
          <w:color w:val="000000"/>
        </w:rPr>
        <w:t>omställningen från ett</w:t>
      </w:r>
      <w:r>
        <w:rPr>
          <w:rFonts w:ascii="Calibri" w:hAnsi="Calibri" w:cs="Calibri"/>
          <w:color w:val="000000"/>
        </w:rPr>
        <w:t xml:space="preserve"> </w:t>
      </w:r>
      <w:r w:rsidRPr="00D94B12">
        <w:rPr>
          <w:rFonts w:ascii="Calibri" w:hAnsi="Calibri" w:cs="Calibri"/>
          <w:color w:val="000000"/>
        </w:rPr>
        <w:t>prenumerationsbaserat</w:t>
      </w:r>
      <w:r>
        <w:rPr>
          <w:rFonts w:ascii="Calibri" w:hAnsi="Calibri" w:cs="Calibri"/>
          <w:color w:val="000000"/>
        </w:rPr>
        <w:t xml:space="preserve"> </w:t>
      </w:r>
      <w:r w:rsidRPr="00D94B12">
        <w:rPr>
          <w:rFonts w:ascii="Calibri" w:hAnsi="Calibri" w:cs="Calibri"/>
          <w:color w:val="000000"/>
        </w:rPr>
        <w:t xml:space="preserve">till ett </w:t>
      </w:r>
      <w:r>
        <w:rPr>
          <w:rFonts w:ascii="Calibri" w:hAnsi="Calibri" w:cs="Calibri"/>
          <w:color w:val="000000"/>
        </w:rPr>
        <w:t>OA-</w:t>
      </w:r>
      <w:r w:rsidRPr="00D94B12">
        <w:rPr>
          <w:rFonts w:ascii="Calibri" w:hAnsi="Calibri" w:cs="Calibri"/>
          <w:color w:val="000000"/>
        </w:rPr>
        <w:t>system</w:t>
      </w:r>
      <w:r>
        <w:rPr>
          <w:rFonts w:ascii="Calibri" w:hAnsi="Calibri" w:cs="Calibri"/>
          <w:color w:val="000000"/>
        </w:rPr>
        <w:t>,</w:t>
      </w:r>
      <w:r w:rsidRPr="00D94B12">
        <w:rPr>
          <w:rFonts w:ascii="Calibri" w:hAnsi="Calibri" w:cs="Calibri"/>
          <w:color w:val="000000"/>
        </w:rPr>
        <w:t xml:space="preserve"> </w:t>
      </w:r>
      <w:r>
        <w:rPr>
          <w:rFonts w:ascii="Calibri" w:hAnsi="Calibri" w:cs="Calibri"/>
          <w:color w:val="000000"/>
        </w:rPr>
        <w:t xml:space="preserve">slår </w:t>
      </w:r>
      <w:r>
        <w:rPr>
          <w:rFonts w:ascii="Calibri" w:hAnsi="Calibri" w:cs="Calibri"/>
          <w:noProof/>
          <w:color w:val="000000"/>
        </w:rPr>
        <w:t>Kungliga biblioteket (2019a, s. 8)</w:t>
      </w:r>
      <w:r>
        <w:rPr>
          <w:rFonts w:ascii="Calibri" w:hAnsi="Calibri" w:cs="Calibri"/>
          <w:color w:val="000000"/>
        </w:rPr>
        <w:t xml:space="preserve"> fast vid att pengaflödet måste </w:t>
      </w:r>
      <w:r w:rsidRPr="00A57009">
        <w:rPr>
          <w:rFonts w:ascii="Calibri" w:hAnsi="Calibri" w:cs="Calibri"/>
          <w:color w:val="000000"/>
        </w:rPr>
        <w:t xml:space="preserve">omdirigeras till att </w:t>
      </w:r>
      <w:r>
        <w:rPr>
          <w:rFonts w:ascii="Calibri" w:hAnsi="Calibri" w:cs="Calibri"/>
          <w:color w:val="000000"/>
        </w:rPr>
        <w:t xml:space="preserve">enbart </w:t>
      </w:r>
      <w:r w:rsidRPr="00A57009">
        <w:rPr>
          <w:rFonts w:ascii="Calibri" w:hAnsi="Calibri" w:cs="Calibri"/>
          <w:color w:val="000000"/>
        </w:rPr>
        <w:t>finansiera</w:t>
      </w:r>
      <w:r>
        <w:rPr>
          <w:rFonts w:ascii="Calibri" w:hAnsi="Calibri" w:cs="Calibri"/>
          <w:color w:val="000000"/>
        </w:rPr>
        <w:t xml:space="preserve"> </w:t>
      </w:r>
      <w:r w:rsidRPr="00A57009">
        <w:rPr>
          <w:rFonts w:ascii="Calibri" w:hAnsi="Calibri" w:cs="Calibri"/>
          <w:color w:val="000000"/>
        </w:rPr>
        <w:t xml:space="preserve">publiceringskostnader för öppen tillgång. </w:t>
      </w:r>
      <w:r>
        <w:rPr>
          <w:rFonts w:ascii="Calibri" w:hAnsi="Calibri" w:cs="Calibri"/>
          <w:color w:val="000000"/>
        </w:rPr>
        <w:t xml:space="preserve">I detta ingår att </w:t>
      </w:r>
      <w:r w:rsidRPr="00A57009">
        <w:rPr>
          <w:rFonts w:ascii="Calibri" w:hAnsi="Calibri" w:cs="Calibri"/>
          <w:color w:val="000000"/>
        </w:rPr>
        <w:t xml:space="preserve">omställningen </w:t>
      </w:r>
      <w:r>
        <w:rPr>
          <w:rFonts w:ascii="Calibri" w:hAnsi="Calibri" w:cs="Calibri"/>
          <w:color w:val="000000"/>
        </w:rPr>
        <w:t xml:space="preserve">måste ske kontrollerat och en önskan om transparenta avtal. </w:t>
      </w:r>
    </w:p>
    <w:p w14:paraId="252FB75B" w14:textId="77777777" w:rsidR="00A626A8" w:rsidRDefault="00A626A8" w:rsidP="00912BC7">
      <w:pPr>
        <w:rPr>
          <w:rFonts w:ascii="Calibri" w:hAnsi="Calibri" w:cs="Calibri"/>
          <w:color w:val="000000"/>
        </w:rPr>
      </w:pPr>
    </w:p>
    <w:p w14:paraId="3299E89D" w14:textId="77777777" w:rsidR="00A626A8" w:rsidRDefault="00A626A8" w:rsidP="003D76E5">
      <w:pPr>
        <w:pStyle w:val="Rubrik1"/>
      </w:pPr>
      <w:r>
        <w:t xml:space="preserve">Metod </w:t>
      </w:r>
    </w:p>
    <w:p w14:paraId="557D9E9C" w14:textId="77777777" w:rsidR="00A626A8" w:rsidRPr="00912BC7" w:rsidRDefault="00A626A8" w:rsidP="007A0A5D">
      <w:pPr>
        <w:rPr>
          <w:rFonts w:ascii="Calibri" w:hAnsi="Calibri" w:cs="Calibri"/>
          <w:color w:val="000000"/>
        </w:rPr>
      </w:pPr>
      <w:r>
        <w:rPr>
          <w:rFonts w:ascii="Calibri" w:hAnsi="Calibri" w:cs="Calibri"/>
          <w:color w:val="000000"/>
        </w:rPr>
        <w:t xml:space="preserve">Studien är genomförd som en litteraturstudie. Utöver vetenskapliga artiklar består källmaterialet även av grå litteratur i form av rapporter och webbsidor. Blocksökningar har genomförts i databaserna LISA och LISTA, men även i söktjänsterna Primo (från </w:t>
      </w:r>
      <w:proofErr w:type="spellStart"/>
      <w:r>
        <w:rPr>
          <w:rFonts w:ascii="Calibri" w:hAnsi="Calibri" w:cs="Calibri"/>
          <w:color w:val="000000"/>
        </w:rPr>
        <w:t>ProQuest</w:t>
      </w:r>
      <w:proofErr w:type="spellEnd"/>
      <w:r>
        <w:rPr>
          <w:rFonts w:ascii="Calibri" w:hAnsi="Calibri" w:cs="Calibri"/>
          <w:color w:val="000000"/>
        </w:rPr>
        <w:t xml:space="preserve"> via Högskolan i Borås) och </w:t>
      </w:r>
      <w:proofErr w:type="spellStart"/>
      <w:r>
        <w:rPr>
          <w:rFonts w:ascii="Calibri" w:hAnsi="Calibri" w:cs="Calibri"/>
          <w:color w:val="000000"/>
        </w:rPr>
        <w:t>LUBsearch</w:t>
      </w:r>
      <w:proofErr w:type="spellEnd"/>
      <w:r>
        <w:rPr>
          <w:rFonts w:ascii="Calibri" w:hAnsi="Calibri" w:cs="Calibri"/>
          <w:color w:val="000000"/>
        </w:rPr>
        <w:t xml:space="preserve"> (från </w:t>
      </w:r>
      <w:proofErr w:type="spellStart"/>
      <w:r>
        <w:rPr>
          <w:rFonts w:ascii="Calibri" w:hAnsi="Calibri" w:cs="Calibri"/>
          <w:color w:val="000000"/>
        </w:rPr>
        <w:t>EBSCOhost</w:t>
      </w:r>
      <w:proofErr w:type="spellEnd"/>
      <w:r>
        <w:rPr>
          <w:rFonts w:ascii="Calibri" w:hAnsi="Calibri" w:cs="Calibri"/>
          <w:color w:val="000000"/>
        </w:rPr>
        <w:t xml:space="preserve"> via Lunds universitet). </w:t>
      </w:r>
      <w:proofErr w:type="spellStart"/>
      <w:r>
        <w:rPr>
          <w:rFonts w:ascii="Calibri" w:hAnsi="Calibri" w:cs="Calibri"/>
          <w:color w:val="000000"/>
        </w:rPr>
        <w:t>Kedjesökning</w:t>
      </w:r>
      <w:proofErr w:type="spellEnd"/>
      <w:r>
        <w:rPr>
          <w:rFonts w:ascii="Calibri" w:hAnsi="Calibri" w:cs="Calibri"/>
          <w:color w:val="000000"/>
        </w:rPr>
        <w:t xml:space="preserve"> har genomförts via referenslistor och i </w:t>
      </w:r>
      <w:proofErr w:type="spellStart"/>
      <w:r>
        <w:rPr>
          <w:rFonts w:ascii="Calibri" w:hAnsi="Calibri" w:cs="Calibri"/>
          <w:color w:val="000000"/>
        </w:rPr>
        <w:t>Scopus</w:t>
      </w:r>
      <w:proofErr w:type="spellEnd"/>
      <w:r>
        <w:rPr>
          <w:rFonts w:ascii="Calibri" w:hAnsi="Calibri" w:cs="Calibri"/>
          <w:color w:val="000000"/>
        </w:rPr>
        <w:t xml:space="preserve"> och Google </w:t>
      </w:r>
      <w:proofErr w:type="spellStart"/>
      <w:r>
        <w:rPr>
          <w:rFonts w:ascii="Calibri" w:hAnsi="Calibri" w:cs="Calibri"/>
          <w:color w:val="000000"/>
        </w:rPr>
        <w:t>Scholar</w:t>
      </w:r>
      <w:proofErr w:type="spellEnd"/>
      <w:r>
        <w:rPr>
          <w:rFonts w:ascii="Calibri" w:hAnsi="Calibri" w:cs="Calibri"/>
          <w:color w:val="000000"/>
        </w:rPr>
        <w:t>.</w:t>
      </w:r>
    </w:p>
    <w:p w14:paraId="4F3A9CC4" w14:textId="77777777" w:rsidR="00A626A8" w:rsidRPr="00116008" w:rsidRDefault="00A626A8" w:rsidP="00116008">
      <w:pPr>
        <w:rPr>
          <w:rFonts w:ascii="Calibri" w:hAnsi="Calibri" w:cs="Calibri"/>
          <w:color w:val="000000"/>
        </w:rPr>
      </w:pPr>
      <w:r w:rsidRPr="000A4434">
        <w:rPr>
          <w:rFonts w:ascii="Calibri" w:hAnsi="Calibri" w:cs="Calibri"/>
          <w:color w:val="000000"/>
        </w:rPr>
        <w:t xml:space="preserve">De sökord som använts </w:t>
      </w:r>
      <w:r>
        <w:rPr>
          <w:rFonts w:ascii="Calibri" w:hAnsi="Calibri" w:cs="Calibri"/>
          <w:color w:val="000000"/>
        </w:rPr>
        <w:t>består av</w:t>
      </w:r>
      <w:r w:rsidRPr="000A4434">
        <w:rPr>
          <w:rFonts w:ascii="Calibri" w:hAnsi="Calibri" w:cs="Calibri"/>
          <w:color w:val="000000"/>
        </w:rPr>
        <w:t xml:space="preserve"> olika varianter för avtal som synonyma begrepp,</w:t>
      </w:r>
      <w:r>
        <w:rPr>
          <w:rFonts w:ascii="Calibri" w:hAnsi="Calibri" w:cs="Calibri"/>
          <w:color w:val="000000"/>
        </w:rPr>
        <w:t xml:space="preserve"> inklusive</w:t>
      </w:r>
      <w:r w:rsidRPr="000A4434">
        <w:rPr>
          <w:rFonts w:ascii="Calibri" w:hAnsi="Calibri" w:cs="Calibri"/>
          <w:color w:val="000000"/>
        </w:rPr>
        <w:t xml:space="preserve">: </w:t>
      </w:r>
      <w:r w:rsidRPr="000A4434">
        <w:rPr>
          <w:rFonts w:ascii="Calibri" w:hAnsi="Calibri" w:cs="Calibri"/>
          <w:i/>
          <w:iCs/>
          <w:color w:val="000000"/>
        </w:rPr>
        <w:t xml:space="preserve">Transformative </w:t>
      </w:r>
      <w:proofErr w:type="spellStart"/>
      <w:r w:rsidRPr="000A4434">
        <w:rPr>
          <w:rFonts w:ascii="Calibri" w:hAnsi="Calibri" w:cs="Calibri"/>
          <w:i/>
          <w:iCs/>
          <w:color w:val="000000"/>
        </w:rPr>
        <w:t>agreement</w:t>
      </w:r>
      <w:proofErr w:type="spellEnd"/>
      <w:r w:rsidRPr="000A4434">
        <w:rPr>
          <w:rFonts w:ascii="Calibri" w:hAnsi="Calibri" w:cs="Calibri"/>
          <w:i/>
          <w:iCs/>
          <w:color w:val="000000"/>
        </w:rPr>
        <w:t xml:space="preserve">, Read and </w:t>
      </w:r>
      <w:proofErr w:type="spellStart"/>
      <w:r w:rsidRPr="000A4434">
        <w:rPr>
          <w:rFonts w:ascii="Calibri" w:hAnsi="Calibri" w:cs="Calibri"/>
          <w:i/>
          <w:iCs/>
          <w:color w:val="000000"/>
        </w:rPr>
        <w:t>publish</w:t>
      </w:r>
      <w:proofErr w:type="spellEnd"/>
      <w:r w:rsidRPr="000A4434">
        <w:rPr>
          <w:rFonts w:ascii="Calibri" w:hAnsi="Calibri" w:cs="Calibri"/>
          <w:i/>
          <w:iCs/>
          <w:color w:val="000000"/>
        </w:rPr>
        <w:t xml:space="preserve"> </w:t>
      </w:r>
      <w:proofErr w:type="spellStart"/>
      <w:r w:rsidRPr="000A4434">
        <w:rPr>
          <w:rFonts w:ascii="Calibri" w:hAnsi="Calibri" w:cs="Calibri"/>
          <w:i/>
          <w:iCs/>
          <w:color w:val="000000"/>
        </w:rPr>
        <w:t>agreement</w:t>
      </w:r>
      <w:proofErr w:type="spellEnd"/>
      <w:r w:rsidRPr="000A4434">
        <w:rPr>
          <w:rFonts w:ascii="Calibri" w:hAnsi="Calibri" w:cs="Calibri"/>
          <w:i/>
          <w:iCs/>
          <w:color w:val="000000"/>
        </w:rPr>
        <w:t xml:space="preserve">, Read &amp; </w:t>
      </w:r>
      <w:proofErr w:type="spellStart"/>
      <w:r w:rsidRPr="000A4434">
        <w:rPr>
          <w:rFonts w:ascii="Calibri" w:hAnsi="Calibri" w:cs="Calibri"/>
          <w:i/>
          <w:iCs/>
          <w:color w:val="000000"/>
        </w:rPr>
        <w:t>publish</w:t>
      </w:r>
      <w:proofErr w:type="spellEnd"/>
      <w:r w:rsidRPr="000A4434">
        <w:rPr>
          <w:rFonts w:ascii="Calibri" w:hAnsi="Calibri" w:cs="Calibri"/>
          <w:i/>
          <w:iCs/>
          <w:color w:val="000000"/>
        </w:rPr>
        <w:t xml:space="preserve"> </w:t>
      </w:r>
      <w:proofErr w:type="spellStart"/>
      <w:r w:rsidRPr="000A4434">
        <w:rPr>
          <w:rFonts w:ascii="Calibri" w:hAnsi="Calibri" w:cs="Calibri"/>
          <w:i/>
          <w:iCs/>
          <w:color w:val="000000"/>
        </w:rPr>
        <w:t>agreement</w:t>
      </w:r>
      <w:proofErr w:type="spellEnd"/>
      <w:r w:rsidRPr="000A4434">
        <w:rPr>
          <w:rFonts w:ascii="Calibri" w:hAnsi="Calibri" w:cs="Calibri"/>
          <w:i/>
          <w:iCs/>
          <w:color w:val="000000"/>
        </w:rPr>
        <w:t xml:space="preserve">, offsetting </w:t>
      </w:r>
      <w:r w:rsidRPr="000A4434">
        <w:rPr>
          <w:rFonts w:ascii="Calibri" w:hAnsi="Calibri" w:cs="Calibri"/>
          <w:color w:val="000000"/>
        </w:rPr>
        <w:t>och</w:t>
      </w:r>
      <w:r w:rsidRPr="000A4434">
        <w:rPr>
          <w:rFonts w:ascii="Calibri" w:hAnsi="Calibri" w:cs="Calibri"/>
          <w:i/>
          <w:iCs/>
          <w:color w:val="000000"/>
        </w:rPr>
        <w:t xml:space="preserve"> </w:t>
      </w:r>
      <w:proofErr w:type="spellStart"/>
      <w:r w:rsidRPr="000A4434">
        <w:rPr>
          <w:rFonts w:ascii="Calibri" w:hAnsi="Calibri" w:cs="Calibri"/>
          <w:i/>
          <w:iCs/>
          <w:color w:val="000000"/>
        </w:rPr>
        <w:t>Open</w:t>
      </w:r>
      <w:proofErr w:type="spellEnd"/>
      <w:r w:rsidRPr="000A4434">
        <w:rPr>
          <w:rFonts w:ascii="Calibri" w:hAnsi="Calibri" w:cs="Calibri"/>
          <w:i/>
          <w:iCs/>
          <w:color w:val="000000"/>
        </w:rPr>
        <w:t xml:space="preserve"> </w:t>
      </w:r>
      <w:proofErr w:type="gramStart"/>
      <w:r w:rsidRPr="000A4434">
        <w:rPr>
          <w:rFonts w:ascii="Calibri" w:hAnsi="Calibri" w:cs="Calibri"/>
          <w:i/>
          <w:iCs/>
          <w:color w:val="000000"/>
        </w:rPr>
        <w:t>access publishing</w:t>
      </w:r>
      <w:proofErr w:type="gramEnd"/>
      <w:r w:rsidRPr="000A4434">
        <w:rPr>
          <w:rFonts w:ascii="Calibri" w:hAnsi="Calibri" w:cs="Calibri"/>
          <w:i/>
          <w:iCs/>
          <w:color w:val="000000"/>
        </w:rPr>
        <w:t xml:space="preserve"> </w:t>
      </w:r>
      <w:proofErr w:type="spellStart"/>
      <w:r w:rsidRPr="000A4434">
        <w:rPr>
          <w:rFonts w:ascii="Calibri" w:hAnsi="Calibri" w:cs="Calibri"/>
          <w:i/>
          <w:iCs/>
          <w:color w:val="000000"/>
        </w:rPr>
        <w:t>agreement</w:t>
      </w:r>
      <w:proofErr w:type="spellEnd"/>
      <w:r w:rsidRPr="000A4434">
        <w:rPr>
          <w:rFonts w:ascii="Calibri" w:hAnsi="Calibri" w:cs="Calibri"/>
          <w:color w:val="000000"/>
        </w:rPr>
        <w:t xml:space="preserve">. </w:t>
      </w:r>
      <w:r>
        <w:rPr>
          <w:rFonts w:ascii="Calibri" w:hAnsi="Calibri" w:cs="Calibri"/>
          <w:color w:val="000000"/>
        </w:rPr>
        <w:t xml:space="preserve">Nästa block har innehållit olika sökord för publicering, t.ex. </w:t>
      </w:r>
      <w:r w:rsidRPr="00A461CE">
        <w:rPr>
          <w:rFonts w:ascii="Calibri" w:hAnsi="Calibri" w:cs="Calibri"/>
          <w:i/>
          <w:iCs/>
          <w:color w:val="000000"/>
        </w:rPr>
        <w:t xml:space="preserve">Publishing, </w:t>
      </w:r>
      <w:proofErr w:type="spellStart"/>
      <w:r w:rsidRPr="00A461CE">
        <w:rPr>
          <w:rFonts w:ascii="Calibri" w:hAnsi="Calibri" w:cs="Calibri"/>
          <w:i/>
          <w:iCs/>
          <w:color w:val="000000"/>
        </w:rPr>
        <w:t>publish</w:t>
      </w:r>
      <w:proofErr w:type="spellEnd"/>
      <w:r w:rsidRPr="00A461CE">
        <w:rPr>
          <w:rFonts w:ascii="Calibri" w:hAnsi="Calibri" w:cs="Calibri"/>
          <w:i/>
          <w:iCs/>
          <w:color w:val="000000"/>
        </w:rPr>
        <w:t xml:space="preserve">, journal </w:t>
      </w:r>
      <w:r w:rsidRPr="00A461CE">
        <w:rPr>
          <w:rFonts w:ascii="Calibri" w:hAnsi="Calibri" w:cs="Calibri"/>
          <w:color w:val="000000"/>
        </w:rPr>
        <w:t>och</w:t>
      </w:r>
      <w:r w:rsidRPr="00A461CE">
        <w:rPr>
          <w:rFonts w:ascii="Calibri" w:hAnsi="Calibri" w:cs="Calibri"/>
          <w:i/>
          <w:iCs/>
          <w:color w:val="000000"/>
        </w:rPr>
        <w:t xml:space="preserve"> research</w:t>
      </w:r>
      <w:r>
        <w:rPr>
          <w:rFonts w:ascii="Calibri" w:hAnsi="Calibri" w:cs="Calibri"/>
          <w:color w:val="000000"/>
        </w:rPr>
        <w:t>. Det har inte varit meningsfullt att göra en avgränsning på årtal eller geografi då det här fenomenet är nytt. Sökningarna har varit breda och selektionen har gjorts genom att läsa artiklarnas titlar och abstract. Två artiklar med lovande abstract exkluderades då de var skrivna på italienska och mandarin</w:t>
      </w:r>
      <w:r>
        <w:rPr>
          <w:rStyle w:val="Fotnotsreferens"/>
          <w:rFonts w:ascii="Calibri" w:hAnsi="Calibri" w:cs="Calibri"/>
          <w:color w:val="000000"/>
        </w:rPr>
        <w:footnoteReference w:id="1"/>
      </w:r>
      <w:r>
        <w:rPr>
          <w:rFonts w:ascii="Calibri" w:hAnsi="Calibri" w:cs="Calibri"/>
          <w:color w:val="000000"/>
        </w:rPr>
        <w:t>. Slutligen valdes 17 artiklar, en rapport och en webbsida till att inkluderas som källmaterial. Materialet</w:t>
      </w:r>
      <w:r w:rsidRPr="00C400C4">
        <w:rPr>
          <w:rFonts w:ascii="Calibri" w:hAnsi="Calibri" w:cs="Calibri"/>
          <w:color w:val="000000"/>
        </w:rPr>
        <w:t xml:space="preserve"> granskades sedan, med hjälp av en tematisk analys av studierna</w:t>
      </w:r>
      <w:r>
        <w:rPr>
          <w:rFonts w:ascii="Calibri" w:hAnsi="Calibri" w:cs="Calibri"/>
          <w:color w:val="000000"/>
        </w:rPr>
        <w:t xml:space="preserve"> </w:t>
      </w:r>
      <w:r w:rsidRPr="00C400C4">
        <w:rPr>
          <w:rFonts w:ascii="Calibri" w:hAnsi="Calibri" w:cs="Calibri"/>
          <w:color w:val="000000"/>
        </w:rPr>
        <w:t>(</w:t>
      </w:r>
      <w:r>
        <w:rPr>
          <w:rFonts w:ascii="Calibri" w:hAnsi="Calibri" w:cs="Calibri"/>
          <w:color w:val="000000"/>
        </w:rPr>
        <w:t>s</w:t>
      </w:r>
      <w:r w:rsidRPr="00C400C4">
        <w:rPr>
          <w:rFonts w:ascii="Calibri" w:hAnsi="Calibri" w:cs="Calibri"/>
          <w:color w:val="000000"/>
        </w:rPr>
        <w:t xml:space="preserve">e bilaga 1 </w:t>
      </w:r>
      <w:r>
        <w:rPr>
          <w:rFonts w:ascii="Calibri" w:hAnsi="Calibri" w:cs="Calibri"/>
          <w:color w:val="000000"/>
        </w:rPr>
        <w:t xml:space="preserve">tematiskt </w:t>
      </w:r>
      <w:r w:rsidRPr="00C400C4">
        <w:rPr>
          <w:rFonts w:ascii="Calibri" w:hAnsi="Calibri" w:cs="Calibri"/>
          <w:color w:val="000000"/>
        </w:rPr>
        <w:t>schema).</w:t>
      </w:r>
    </w:p>
    <w:p w14:paraId="169CD9BB" w14:textId="77777777" w:rsidR="00A626A8" w:rsidRPr="00751963" w:rsidRDefault="00A626A8" w:rsidP="00751963">
      <w:pPr>
        <w:pStyle w:val="Rubrik1"/>
      </w:pPr>
      <w:r>
        <w:lastRenderedPageBreak/>
        <w:t xml:space="preserve">Resultat </w:t>
      </w:r>
    </w:p>
    <w:p w14:paraId="1A599C33" w14:textId="77777777" w:rsidR="00A626A8" w:rsidRDefault="00A626A8" w:rsidP="003E5AAB">
      <w:pPr>
        <w:rPr>
          <w:rFonts w:ascii="Calibri" w:hAnsi="Calibri" w:cs="Calibri"/>
          <w:color w:val="000000"/>
        </w:rPr>
      </w:pPr>
      <w:r w:rsidRPr="003E5AAB">
        <w:rPr>
          <w:rFonts w:ascii="Calibri" w:hAnsi="Calibri" w:cs="Calibri"/>
          <w:color w:val="000000"/>
        </w:rPr>
        <w:t xml:space="preserve">En </w:t>
      </w:r>
      <w:r>
        <w:rPr>
          <w:rFonts w:ascii="Calibri" w:hAnsi="Calibri" w:cs="Calibri"/>
          <w:color w:val="000000"/>
        </w:rPr>
        <w:t>tematisk analys</w:t>
      </w:r>
      <w:r w:rsidRPr="003E5AAB">
        <w:rPr>
          <w:rFonts w:ascii="Calibri" w:hAnsi="Calibri" w:cs="Calibri"/>
          <w:color w:val="000000"/>
        </w:rPr>
        <w:t xml:space="preserve"> av </w:t>
      </w:r>
      <w:r>
        <w:rPr>
          <w:rFonts w:ascii="Calibri" w:hAnsi="Calibri" w:cs="Calibri"/>
          <w:color w:val="000000"/>
        </w:rPr>
        <w:t>källmaterialet visade</w:t>
      </w:r>
      <w:r w:rsidRPr="003E5AAB">
        <w:rPr>
          <w:rFonts w:ascii="Calibri" w:hAnsi="Calibri" w:cs="Calibri"/>
          <w:color w:val="000000"/>
        </w:rPr>
        <w:t xml:space="preserve"> </w:t>
      </w:r>
      <w:r>
        <w:rPr>
          <w:rFonts w:ascii="Calibri" w:hAnsi="Calibri" w:cs="Calibri"/>
          <w:color w:val="000000"/>
        </w:rPr>
        <w:t>fem</w:t>
      </w:r>
      <w:r w:rsidRPr="003E5AAB">
        <w:rPr>
          <w:rFonts w:ascii="Calibri" w:hAnsi="Calibri" w:cs="Calibri"/>
          <w:color w:val="000000"/>
        </w:rPr>
        <w:t xml:space="preserve"> huvudteman </w:t>
      </w:r>
      <w:r>
        <w:rPr>
          <w:rFonts w:ascii="Calibri" w:hAnsi="Calibri" w:cs="Calibri"/>
          <w:color w:val="000000"/>
        </w:rPr>
        <w:t>av erfarenheter vid en</w:t>
      </w:r>
      <w:r w:rsidRPr="00912BC7">
        <w:rPr>
          <w:rFonts w:ascii="Calibri" w:hAnsi="Calibri" w:cs="Calibri"/>
          <w:color w:val="000000"/>
        </w:rPr>
        <w:t xml:space="preserve"> övergång till </w:t>
      </w:r>
      <w:r>
        <w:rPr>
          <w:rFonts w:ascii="Calibri" w:hAnsi="Calibri" w:cs="Calibri"/>
          <w:color w:val="000000"/>
        </w:rPr>
        <w:t xml:space="preserve">LP, benämnda (1) Sverige, (2) Nederländerna, (3) Storbritannien, (4) positiva erfarenheter och förhoppningar och slutligen (5) negativa erfarenheter och farhågor. </w:t>
      </w:r>
      <w:r w:rsidRPr="003E5AAB">
        <w:rPr>
          <w:rFonts w:ascii="Calibri" w:hAnsi="Calibri" w:cs="Calibri"/>
          <w:color w:val="000000"/>
        </w:rPr>
        <w:t xml:space="preserve">De </w:t>
      </w:r>
      <w:r>
        <w:rPr>
          <w:rFonts w:ascii="Calibri" w:hAnsi="Calibri" w:cs="Calibri"/>
          <w:color w:val="000000"/>
        </w:rPr>
        <w:t>fem</w:t>
      </w:r>
      <w:r w:rsidRPr="003E5AAB">
        <w:rPr>
          <w:rFonts w:ascii="Calibri" w:hAnsi="Calibri" w:cs="Calibri"/>
          <w:color w:val="000000"/>
        </w:rPr>
        <w:t xml:space="preserve"> teman som togs fram beskrivs nedan.</w:t>
      </w:r>
    </w:p>
    <w:p w14:paraId="7ACA0C04" w14:textId="77777777" w:rsidR="00A626A8" w:rsidRDefault="00A626A8" w:rsidP="00CD1257">
      <w:pPr>
        <w:rPr>
          <w:rFonts w:ascii="Calibri" w:hAnsi="Calibri" w:cs="Calibri"/>
          <w:color w:val="000000"/>
        </w:rPr>
      </w:pPr>
    </w:p>
    <w:p w14:paraId="343BFE33" w14:textId="77777777" w:rsidR="00A626A8" w:rsidRDefault="00A626A8" w:rsidP="00751963">
      <w:pPr>
        <w:pStyle w:val="Rubrik3"/>
      </w:pPr>
      <w:r>
        <w:t>Sverige</w:t>
      </w:r>
    </w:p>
    <w:p w14:paraId="7C93B108" w14:textId="77777777" w:rsidR="00A626A8" w:rsidRDefault="00A626A8" w:rsidP="00CD1257">
      <w:pPr>
        <w:rPr>
          <w:rFonts w:ascii="Calibri" w:hAnsi="Calibri" w:cs="Calibri"/>
          <w:color w:val="000000"/>
        </w:rPr>
      </w:pPr>
      <w:r>
        <w:rPr>
          <w:rFonts w:ascii="Calibri" w:hAnsi="Calibri" w:cs="Calibri"/>
          <w:color w:val="000000"/>
        </w:rPr>
        <w:t xml:space="preserve">Den svenska studien av </w:t>
      </w:r>
      <w:r>
        <w:rPr>
          <w:rFonts w:ascii="Calibri" w:hAnsi="Calibri" w:cs="Calibri"/>
          <w:noProof/>
          <w:color w:val="000000"/>
        </w:rPr>
        <w:t>Olsson et al. (2020)</w:t>
      </w:r>
      <w:r>
        <w:rPr>
          <w:rFonts w:ascii="Calibri" w:hAnsi="Calibri" w:cs="Calibri"/>
          <w:color w:val="000000"/>
        </w:rPr>
        <w:t xml:space="preserve"> fokuserar på landets första LP</w:t>
      </w:r>
      <w:r w:rsidRPr="00E20FB5">
        <w:rPr>
          <w:rFonts w:ascii="Calibri" w:hAnsi="Calibri" w:cs="Calibri"/>
          <w:color w:val="000000"/>
        </w:rPr>
        <w:t xml:space="preserve"> </w:t>
      </w:r>
      <w:r>
        <w:rPr>
          <w:rFonts w:ascii="Calibri" w:hAnsi="Calibri" w:cs="Calibri"/>
          <w:color w:val="000000"/>
        </w:rPr>
        <w:t xml:space="preserve">med Springer (2016-07-01 – 2018-12-31) som började som ett pilotprojekt och som sedan förlängdes med andra villkor (2019-01-01 – 2021-12-31). Publiceringskostnaderna har varit baserade på listpriset som vid tillfället var 2 200 € per artikel och i gengäld har prenumerationsavgiften varit lägre än tidigare. Beräkningar som </w:t>
      </w:r>
      <w:r>
        <w:rPr>
          <w:rFonts w:ascii="Calibri" w:hAnsi="Calibri" w:cs="Calibri"/>
          <w:noProof/>
          <w:color w:val="000000"/>
        </w:rPr>
        <w:t>Olsson et al. (2020)</w:t>
      </w:r>
      <w:r>
        <w:rPr>
          <w:rFonts w:ascii="Calibri" w:hAnsi="Calibri" w:cs="Calibri"/>
          <w:color w:val="000000"/>
        </w:rPr>
        <w:t xml:space="preserve"> har gjort tyder på att man i avtalet överskattade hur många artiklar som skulle publiceras av svenska forskare hos Springer under den här perioden och att det gjorde att det hade blivit billigare att fortsätta med den traditionella publiceringsmodellen. Även </w:t>
      </w:r>
      <w:r>
        <w:rPr>
          <w:rFonts w:ascii="Calibri" w:hAnsi="Calibri" w:cs="Calibri"/>
          <w:noProof/>
          <w:color w:val="000000"/>
        </w:rPr>
        <w:t>Kungliga biblioteket (2019a, s. 21)</w:t>
      </w:r>
      <w:r>
        <w:rPr>
          <w:rFonts w:ascii="Calibri" w:hAnsi="Calibri" w:cs="Calibri"/>
          <w:color w:val="000000"/>
        </w:rPr>
        <w:t xml:space="preserve"> har kommit fram till att avtalet med Springer innebar en stor kostnadsökning med en nota som landade på </w:t>
      </w:r>
      <w:r w:rsidRPr="00CD1257">
        <w:rPr>
          <w:rFonts w:ascii="Calibri" w:hAnsi="Calibri" w:cs="Calibri"/>
          <w:color w:val="000000"/>
        </w:rPr>
        <w:t>4</w:t>
      </w:r>
      <w:r>
        <w:rPr>
          <w:rFonts w:ascii="Calibri" w:hAnsi="Calibri" w:cs="Calibri"/>
          <w:color w:val="000000"/>
        </w:rPr>
        <w:t> </w:t>
      </w:r>
      <w:r w:rsidRPr="00CD1257">
        <w:rPr>
          <w:rFonts w:ascii="Calibri" w:hAnsi="Calibri" w:cs="Calibri"/>
          <w:color w:val="000000"/>
        </w:rPr>
        <w:t>187</w:t>
      </w:r>
      <w:r>
        <w:rPr>
          <w:rFonts w:ascii="Calibri" w:hAnsi="Calibri" w:cs="Calibri"/>
          <w:color w:val="000000"/>
        </w:rPr>
        <w:t xml:space="preserve"> </w:t>
      </w:r>
      <w:r w:rsidRPr="00CD1257">
        <w:rPr>
          <w:rFonts w:ascii="Calibri" w:hAnsi="Calibri" w:cs="Calibri"/>
          <w:color w:val="000000"/>
        </w:rPr>
        <w:t xml:space="preserve">869 </w:t>
      </w:r>
      <w:r>
        <w:rPr>
          <w:rFonts w:ascii="Calibri" w:hAnsi="Calibri" w:cs="Calibri"/>
          <w:color w:val="000000"/>
        </w:rPr>
        <w:t xml:space="preserve">€ vilket kan </w:t>
      </w:r>
      <w:r w:rsidRPr="00CD1257">
        <w:rPr>
          <w:rFonts w:ascii="Calibri" w:hAnsi="Calibri" w:cs="Calibri"/>
          <w:color w:val="000000"/>
        </w:rPr>
        <w:t>jämföras med</w:t>
      </w:r>
      <w:r>
        <w:rPr>
          <w:rFonts w:ascii="Calibri" w:hAnsi="Calibri" w:cs="Calibri"/>
          <w:color w:val="000000"/>
        </w:rPr>
        <w:t xml:space="preserve"> </w:t>
      </w:r>
      <w:r w:rsidRPr="00CD1257">
        <w:rPr>
          <w:rFonts w:ascii="Calibri" w:hAnsi="Calibri" w:cs="Calibri"/>
          <w:color w:val="000000"/>
        </w:rPr>
        <w:t xml:space="preserve">2 276 728 </w:t>
      </w:r>
      <w:r>
        <w:rPr>
          <w:rFonts w:ascii="Calibri" w:hAnsi="Calibri" w:cs="Calibri"/>
          <w:color w:val="000000"/>
        </w:rPr>
        <w:t xml:space="preserve">€ för </w:t>
      </w:r>
      <w:r w:rsidRPr="00CD1257">
        <w:rPr>
          <w:rFonts w:ascii="Calibri" w:hAnsi="Calibri" w:cs="Calibri"/>
          <w:color w:val="000000"/>
        </w:rPr>
        <w:t>året innan.</w:t>
      </w:r>
    </w:p>
    <w:p w14:paraId="48FB7D30" w14:textId="77777777" w:rsidR="00A626A8" w:rsidRDefault="00A626A8">
      <w:pPr>
        <w:rPr>
          <w:rFonts w:ascii="Calibri" w:hAnsi="Calibri" w:cs="Calibri"/>
          <w:color w:val="000000"/>
        </w:rPr>
      </w:pPr>
      <w:r>
        <w:rPr>
          <w:rFonts w:ascii="Calibri" w:hAnsi="Calibri" w:cs="Calibri"/>
          <w:color w:val="000000"/>
        </w:rPr>
        <w:t xml:space="preserve">I artikeln av </w:t>
      </w:r>
      <w:r>
        <w:rPr>
          <w:rFonts w:ascii="Calibri" w:hAnsi="Calibri" w:cs="Calibri"/>
          <w:noProof/>
          <w:color w:val="000000"/>
        </w:rPr>
        <w:t>Olsson et al. (2020)</w:t>
      </w:r>
      <w:r>
        <w:rPr>
          <w:rFonts w:ascii="Calibri" w:hAnsi="Calibri" w:cs="Calibri"/>
          <w:color w:val="000000"/>
        </w:rPr>
        <w:t xml:space="preserve"> står det att kostnaderna för akademisk publicering har ökat eftersom priset har utvidgats från att enbart röra prenumerationer till att inkludera publiceringsavgifter. Syftet med avtalen har varit motiverat av att påskynda övergången till ett nytt publiceringssystem med OA för en rimlig kostnad och med mer transparens. 2017 publicerades en markant ökning av OA-artiklar i och med Springer-avtalet. Prognosen utan avtalen var ca 158 – 235 artiklar, resultatet blev 1 399 artiklar </w:t>
      </w:r>
      <w:r>
        <w:rPr>
          <w:rFonts w:ascii="Calibri" w:hAnsi="Calibri" w:cs="Calibri"/>
          <w:noProof/>
          <w:color w:val="000000"/>
        </w:rPr>
        <w:t>(Kungliga biblioteket, 2019a, s. 21-22)</w:t>
      </w:r>
      <w:r>
        <w:rPr>
          <w:rFonts w:ascii="Calibri" w:hAnsi="Calibri" w:cs="Calibri"/>
          <w:color w:val="000000"/>
        </w:rPr>
        <w:t>.</w:t>
      </w:r>
    </w:p>
    <w:p w14:paraId="72FE68E2" w14:textId="77777777" w:rsidR="00A626A8" w:rsidRDefault="00A626A8" w:rsidP="003602BD">
      <w:pPr>
        <w:rPr>
          <w:rFonts w:asciiTheme="minorHAnsi" w:hAnsiTheme="minorHAnsi" w:cstheme="minorHAnsi"/>
        </w:rPr>
      </w:pPr>
    </w:p>
    <w:p w14:paraId="250AAD20" w14:textId="77777777" w:rsidR="00A626A8" w:rsidRDefault="00A626A8" w:rsidP="00751963">
      <w:pPr>
        <w:pStyle w:val="Rubrik3"/>
      </w:pPr>
      <w:r>
        <w:t>Nederländerna</w:t>
      </w:r>
    </w:p>
    <w:p w14:paraId="25A06464" w14:textId="77777777" w:rsidR="00A626A8" w:rsidRDefault="00A626A8" w:rsidP="003602BD">
      <w:pPr>
        <w:rPr>
          <w:rFonts w:asciiTheme="minorHAnsi" w:hAnsiTheme="minorHAnsi" w:cstheme="minorHAnsi"/>
        </w:rPr>
      </w:pPr>
      <w:r w:rsidRPr="003602BD">
        <w:rPr>
          <w:rFonts w:asciiTheme="minorHAnsi" w:hAnsiTheme="minorHAnsi" w:cstheme="minorHAnsi"/>
        </w:rPr>
        <w:t>Neder</w:t>
      </w:r>
      <w:r>
        <w:rPr>
          <w:rFonts w:asciiTheme="minorHAnsi" w:hAnsiTheme="minorHAnsi" w:cstheme="minorHAnsi"/>
        </w:rPr>
        <w:t xml:space="preserve">länderna var de första som tecknade ett </w:t>
      </w:r>
      <w:r>
        <w:rPr>
          <w:rFonts w:ascii="Calibri" w:hAnsi="Calibri" w:cs="Calibri"/>
          <w:color w:val="000000"/>
        </w:rPr>
        <w:t>LP</w:t>
      </w:r>
      <w:r w:rsidRPr="00E20FB5">
        <w:rPr>
          <w:rFonts w:ascii="Calibri" w:hAnsi="Calibri" w:cs="Calibri"/>
          <w:color w:val="000000"/>
        </w:rPr>
        <w:t xml:space="preserve"> </w:t>
      </w:r>
      <w:r>
        <w:rPr>
          <w:rFonts w:asciiTheme="minorHAnsi" w:hAnsiTheme="minorHAnsi" w:cstheme="minorHAnsi"/>
        </w:rPr>
        <w:t xml:space="preserve">med Springer, vilket började gälla från årsskiftet 2015, 1,5 år före Sverige. Övergången från den prenumerationsbaserade modellen utfördes utan någon kostnadsökning </w:t>
      </w:r>
      <w:r>
        <w:rPr>
          <w:rFonts w:asciiTheme="minorHAnsi" w:hAnsiTheme="minorHAnsi" w:cstheme="minorHAnsi"/>
          <w:noProof/>
        </w:rPr>
        <w:t>(Olsson et al., 2020)</w:t>
      </w:r>
      <w:r>
        <w:rPr>
          <w:rFonts w:asciiTheme="minorHAnsi" w:hAnsiTheme="minorHAnsi" w:cstheme="minorHAnsi"/>
        </w:rPr>
        <w:t xml:space="preserve">. Genom avtalet som förnyades 2018 fick nederländarna publicera 2 080 artiklar per år, varav hälften av artiklarna genererade en rabatt på 25 % medan resterande fick betala listpriset </w:t>
      </w:r>
      <w:r>
        <w:rPr>
          <w:rFonts w:asciiTheme="minorHAnsi" w:hAnsiTheme="minorHAnsi" w:cstheme="minorHAnsi"/>
          <w:noProof/>
        </w:rPr>
        <w:t>(Openaccess.nl, u.å.)</w:t>
      </w:r>
      <w:r>
        <w:rPr>
          <w:rFonts w:asciiTheme="minorHAnsi" w:hAnsiTheme="minorHAnsi" w:cstheme="minorHAnsi"/>
        </w:rPr>
        <w:t xml:space="preserve">. </w:t>
      </w:r>
      <w:r>
        <w:rPr>
          <w:rFonts w:asciiTheme="minorHAnsi" w:hAnsiTheme="minorHAnsi" w:cstheme="minorHAnsi"/>
          <w:noProof/>
        </w:rPr>
        <w:t>Olsson et al. (2020)</w:t>
      </w:r>
      <w:r>
        <w:rPr>
          <w:rFonts w:asciiTheme="minorHAnsi" w:hAnsiTheme="minorHAnsi" w:cstheme="minorHAnsi"/>
        </w:rPr>
        <w:t xml:space="preserve"> påpekar så borde kostnaderna för avtalet med Springer vara ungefär desamma i Sverige och Nederländerna då det är två länder i ungefär samma akademiska storlek. Till skillnad från Sveriges kostnadsökning var Nederländernas avtal med Springer mer kostnadsneutralt </w:t>
      </w:r>
      <w:r>
        <w:rPr>
          <w:rFonts w:asciiTheme="minorHAnsi" w:hAnsiTheme="minorHAnsi" w:cstheme="minorHAnsi"/>
          <w:noProof/>
        </w:rPr>
        <w:t>(Kungliga biblioteket, 2019a, s. 21)</w:t>
      </w:r>
      <w:r>
        <w:rPr>
          <w:rFonts w:asciiTheme="minorHAnsi" w:hAnsiTheme="minorHAnsi" w:cstheme="minorHAnsi"/>
        </w:rPr>
        <w:t xml:space="preserve">. Andra förlag som </w:t>
      </w:r>
      <w:proofErr w:type="spellStart"/>
      <w:r>
        <w:rPr>
          <w:rFonts w:asciiTheme="minorHAnsi" w:hAnsiTheme="minorHAnsi" w:cstheme="minorHAnsi"/>
        </w:rPr>
        <w:t>SAGE</w:t>
      </w:r>
      <w:proofErr w:type="spellEnd"/>
      <w:r>
        <w:rPr>
          <w:rFonts w:asciiTheme="minorHAnsi" w:hAnsiTheme="minorHAnsi" w:cstheme="minorHAnsi"/>
        </w:rPr>
        <w:t xml:space="preserve"> och Wiley har därefter också tecknat avtal som gynnar OA-publicering </w:t>
      </w:r>
      <w:r>
        <w:rPr>
          <w:rFonts w:asciiTheme="minorHAnsi" w:hAnsiTheme="minorHAnsi" w:cstheme="minorHAnsi"/>
          <w:noProof/>
        </w:rPr>
        <w:t>(Openaccess.nl, u.å.)</w:t>
      </w:r>
      <w:r>
        <w:rPr>
          <w:rFonts w:asciiTheme="minorHAnsi" w:hAnsiTheme="minorHAnsi" w:cstheme="minorHAnsi"/>
        </w:rPr>
        <w:t xml:space="preserve">. Erfarenheterna från Nederländernas LP är svåra att överblicka då det finns olika typer av avtal mellan olika förlag och att avtalen har skiftat efter ett par år när det varit dags för nya omförhandlingar </w:t>
      </w:r>
      <w:r>
        <w:rPr>
          <w:rFonts w:asciiTheme="minorHAnsi" w:hAnsiTheme="minorHAnsi" w:cstheme="minorHAnsi"/>
          <w:noProof/>
        </w:rPr>
        <w:t>(Kungliga biblioteket, 2019a, s. 16)</w:t>
      </w:r>
      <w:r>
        <w:rPr>
          <w:rFonts w:asciiTheme="minorHAnsi" w:hAnsiTheme="minorHAnsi" w:cstheme="minorHAnsi"/>
        </w:rPr>
        <w:t xml:space="preserve">. </w:t>
      </w:r>
    </w:p>
    <w:p w14:paraId="153819E9" w14:textId="77777777" w:rsidR="00A626A8" w:rsidRDefault="00A626A8" w:rsidP="003602BD">
      <w:pPr>
        <w:rPr>
          <w:rFonts w:asciiTheme="minorHAnsi" w:hAnsiTheme="minorHAnsi" w:cstheme="minorHAnsi"/>
        </w:rPr>
      </w:pPr>
    </w:p>
    <w:p w14:paraId="2446C15C" w14:textId="77777777" w:rsidR="00A626A8" w:rsidRDefault="00A626A8" w:rsidP="00751963">
      <w:pPr>
        <w:pStyle w:val="Rubrik3"/>
      </w:pPr>
      <w:r>
        <w:t xml:space="preserve">Storbritannien </w:t>
      </w:r>
    </w:p>
    <w:p w14:paraId="4974A55D" w14:textId="77777777" w:rsidR="00A626A8" w:rsidRDefault="00A626A8" w:rsidP="003602BD">
      <w:pPr>
        <w:rPr>
          <w:rFonts w:ascii="Calibri" w:hAnsi="Calibri" w:cs="Calibri"/>
          <w:color w:val="000000"/>
        </w:rPr>
      </w:pPr>
      <w:r>
        <w:rPr>
          <w:rFonts w:asciiTheme="minorHAnsi" w:hAnsiTheme="minorHAnsi" w:cstheme="minorHAnsi"/>
        </w:rPr>
        <w:t xml:space="preserve">Även Storbritannien var tidiga med att teckna ett LP med Springer 2015, en övergång som dock hade en mindre kostnadshöjning </w:t>
      </w:r>
      <w:r>
        <w:rPr>
          <w:rFonts w:asciiTheme="minorHAnsi" w:hAnsiTheme="minorHAnsi" w:cstheme="minorHAnsi"/>
          <w:noProof/>
        </w:rPr>
        <w:t>(Olsson et al., 2020)</w:t>
      </w:r>
      <w:r>
        <w:rPr>
          <w:rFonts w:asciiTheme="minorHAnsi" w:hAnsiTheme="minorHAnsi" w:cstheme="minorHAnsi"/>
        </w:rPr>
        <w:t xml:space="preserve">. Genom att publicera fler fritt tillgängliga artiklar än under 2014 täcktes utgifterna </w:t>
      </w:r>
      <w:r>
        <w:rPr>
          <w:rFonts w:asciiTheme="minorHAnsi" w:hAnsiTheme="minorHAnsi" w:cstheme="minorHAnsi"/>
          <w:noProof/>
        </w:rPr>
        <w:t>(Marques &amp; Stone, 2020)</w:t>
      </w:r>
      <w:r>
        <w:rPr>
          <w:rFonts w:asciiTheme="minorHAnsi" w:hAnsiTheme="minorHAnsi" w:cstheme="minorHAnsi"/>
        </w:rPr>
        <w:t xml:space="preserve">. </w:t>
      </w:r>
      <w:r>
        <w:rPr>
          <w:rFonts w:ascii="Calibri" w:hAnsi="Calibri" w:cs="Calibri"/>
          <w:color w:val="000000"/>
        </w:rPr>
        <w:t xml:space="preserve">Liksom Nederländerna var följden av Storbritanniens avtal med Springer mer kostnadsneutralt </w:t>
      </w:r>
      <w:r>
        <w:rPr>
          <w:rFonts w:ascii="Calibri" w:hAnsi="Calibri" w:cs="Calibri"/>
          <w:noProof/>
          <w:color w:val="000000"/>
        </w:rPr>
        <w:t>(Kungliga biblioteket, 2019a, s. 21)</w:t>
      </w:r>
      <w:r>
        <w:rPr>
          <w:rFonts w:ascii="Calibri" w:hAnsi="Calibri" w:cs="Calibri"/>
          <w:color w:val="000000"/>
        </w:rPr>
        <w:t xml:space="preserve">. </w:t>
      </w:r>
      <w:r>
        <w:rPr>
          <w:rFonts w:asciiTheme="minorHAnsi" w:hAnsiTheme="minorHAnsi" w:cstheme="minorHAnsi"/>
        </w:rPr>
        <w:t xml:space="preserve">Då variablerna varierar för olika </w:t>
      </w:r>
      <w:r>
        <w:rPr>
          <w:rFonts w:ascii="Calibri" w:hAnsi="Calibri" w:cs="Calibri"/>
          <w:color w:val="000000"/>
        </w:rPr>
        <w:t xml:space="preserve">LP mellan olika förlag är det komplicerat att följa upp resultaten av de nya avtalen i Storbritannien </w:t>
      </w:r>
      <w:r>
        <w:rPr>
          <w:rFonts w:ascii="Calibri" w:hAnsi="Calibri" w:cs="Calibri"/>
          <w:noProof/>
          <w:color w:val="000000"/>
        </w:rPr>
        <w:t xml:space="preserve">(Kungliga </w:t>
      </w:r>
      <w:r>
        <w:rPr>
          <w:rFonts w:ascii="Calibri" w:hAnsi="Calibri" w:cs="Calibri"/>
          <w:noProof/>
          <w:color w:val="000000"/>
        </w:rPr>
        <w:lastRenderedPageBreak/>
        <w:t>biblioteket, 2019a, s. 16)</w:t>
      </w:r>
      <w:r>
        <w:rPr>
          <w:rFonts w:ascii="Calibri" w:hAnsi="Calibri" w:cs="Calibri"/>
          <w:color w:val="000000"/>
        </w:rPr>
        <w:t xml:space="preserve">. Antalet fritt tillgängligt publicerade artiklar ökade i Storbritannien med 23,8 % under 2016 och 55,9 % av alla artiklar som publicerades i Springer av brittiska forskare var </w:t>
      </w:r>
      <w:proofErr w:type="spellStart"/>
      <w:r>
        <w:rPr>
          <w:rFonts w:ascii="Calibri" w:hAnsi="Calibri" w:cs="Calibri"/>
          <w:color w:val="000000"/>
        </w:rPr>
        <w:t>Open</w:t>
      </w:r>
      <w:proofErr w:type="spellEnd"/>
      <w:r>
        <w:rPr>
          <w:rFonts w:ascii="Calibri" w:hAnsi="Calibri" w:cs="Calibri"/>
          <w:color w:val="000000"/>
        </w:rPr>
        <w:t xml:space="preserve"> Access </w:t>
      </w:r>
      <w:r>
        <w:rPr>
          <w:rFonts w:ascii="Calibri" w:hAnsi="Calibri" w:cs="Calibri"/>
          <w:noProof/>
          <w:color w:val="000000"/>
        </w:rPr>
        <w:t>(Marques &amp; Stone, 2020)</w:t>
      </w:r>
      <w:r>
        <w:rPr>
          <w:rFonts w:ascii="Calibri" w:hAnsi="Calibri" w:cs="Calibri"/>
          <w:color w:val="000000"/>
        </w:rPr>
        <w:t xml:space="preserve">. </w:t>
      </w:r>
      <w:r w:rsidRPr="00810831">
        <w:rPr>
          <w:rFonts w:ascii="Calibri" w:hAnsi="Calibri" w:cs="Calibri"/>
          <w:color w:val="000000"/>
        </w:rPr>
        <w:t xml:space="preserve">Transformativa avtal är användbara verktyg för att påskynda tillväxten av öppen åtkomst för små utgivare med begränsade resurser, </w:t>
      </w:r>
      <w:r>
        <w:rPr>
          <w:rFonts w:ascii="Calibri" w:hAnsi="Calibri" w:cs="Calibri"/>
          <w:color w:val="000000"/>
        </w:rPr>
        <w:t xml:space="preserve">bland annat för det brittiska anrika förlaget The Royal </w:t>
      </w:r>
      <w:proofErr w:type="spellStart"/>
      <w:r>
        <w:rPr>
          <w:rFonts w:ascii="Calibri" w:hAnsi="Calibri" w:cs="Calibri"/>
          <w:color w:val="000000"/>
        </w:rPr>
        <w:t>Society</w:t>
      </w:r>
      <w:proofErr w:type="spellEnd"/>
      <w:r>
        <w:rPr>
          <w:rFonts w:ascii="Calibri" w:hAnsi="Calibri" w:cs="Calibri"/>
          <w:color w:val="000000"/>
        </w:rPr>
        <w:t xml:space="preserve"> som publicerat allt mer </w:t>
      </w:r>
      <w:proofErr w:type="spellStart"/>
      <w:r>
        <w:rPr>
          <w:rFonts w:ascii="Calibri" w:hAnsi="Calibri" w:cs="Calibri"/>
          <w:color w:val="000000"/>
        </w:rPr>
        <w:t>Open</w:t>
      </w:r>
      <w:proofErr w:type="spellEnd"/>
      <w:r>
        <w:rPr>
          <w:rFonts w:ascii="Calibri" w:hAnsi="Calibri" w:cs="Calibri"/>
          <w:color w:val="000000"/>
        </w:rPr>
        <w:t xml:space="preserve"> Access sedan de började förnya sina avtal </w:t>
      </w:r>
      <w:r>
        <w:rPr>
          <w:rFonts w:ascii="Calibri" w:hAnsi="Calibri" w:cs="Calibri"/>
          <w:noProof/>
          <w:color w:val="000000"/>
        </w:rPr>
        <w:t>(Anderson et al., 2022; Wise &amp; Estelle, 2020)</w:t>
      </w:r>
      <w:r>
        <w:rPr>
          <w:rFonts w:ascii="Calibri" w:hAnsi="Calibri" w:cs="Calibri"/>
          <w:color w:val="000000"/>
        </w:rPr>
        <w:t xml:space="preserve">. En erfarenhet av det brittiska pilotavtalet med Springer är att enbart två hybridtidskrifter omvandlades till rena OA-tidskrifter under den treårsperioden </w:t>
      </w:r>
      <w:r>
        <w:rPr>
          <w:rFonts w:ascii="Calibri" w:hAnsi="Calibri" w:cs="Calibri"/>
          <w:noProof/>
          <w:color w:val="000000"/>
        </w:rPr>
        <w:t>(Marques &amp; Stone, 2020)</w:t>
      </w:r>
      <w:r>
        <w:rPr>
          <w:rFonts w:ascii="Calibri" w:hAnsi="Calibri" w:cs="Calibri"/>
          <w:color w:val="000000"/>
        </w:rPr>
        <w:t xml:space="preserve">. </w:t>
      </w:r>
    </w:p>
    <w:p w14:paraId="1AF8AA71" w14:textId="77777777" w:rsidR="00A626A8" w:rsidRDefault="00A626A8" w:rsidP="003602BD">
      <w:pPr>
        <w:rPr>
          <w:rFonts w:ascii="Calibri" w:hAnsi="Calibri" w:cs="Calibri"/>
          <w:color w:val="000000"/>
        </w:rPr>
      </w:pPr>
    </w:p>
    <w:p w14:paraId="50AF79BB" w14:textId="77777777" w:rsidR="00A626A8" w:rsidRDefault="00A626A8" w:rsidP="00C428AD">
      <w:pPr>
        <w:pStyle w:val="Rubrik3"/>
      </w:pPr>
      <w:r>
        <w:t>Positiva erfarenheter och förhoppningar</w:t>
      </w:r>
    </w:p>
    <w:p w14:paraId="76DDDC1D" w14:textId="77777777" w:rsidR="00A626A8" w:rsidRDefault="00A626A8" w:rsidP="00C400C4">
      <w:pPr>
        <w:rPr>
          <w:rFonts w:ascii="Calibri" w:hAnsi="Calibri" w:cs="Calibri"/>
          <w:color w:val="000000"/>
        </w:rPr>
      </w:pPr>
      <w:r>
        <w:rPr>
          <w:rFonts w:ascii="Calibri" w:hAnsi="Calibri" w:cs="Calibri"/>
          <w:color w:val="000000"/>
        </w:rPr>
        <w:t xml:space="preserve">En spansk studie </w:t>
      </w:r>
      <w:r>
        <w:rPr>
          <w:rFonts w:ascii="Calibri" w:hAnsi="Calibri" w:cs="Calibri"/>
          <w:noProof/>
          <w:color w:val="000000"/>
        </w:rPr>
        <w:t>(Borrego et al., 2021)</w:t>
      </w:r>
      <w:r>
        <w:rPr>
          <w:rFonts w:ascii="Calibri" w:hAnsi="Calibri" w:cs="Calibri"/>
          <w:color w:val="000000"/>
        </w:rPr>
        <w:t xml:space="preserve"> konstaterar att TA</w:t>
      </w:r>
      <w:r w:rsidRPr="00125ED6">
        <w:rPr>
          <w:rFonts w:ascii="Calibri" w:hAnsi="Calibri" w:cs="Calibri"/>
          <w:color w:val="000000"/>
        </w:rPr>
        <w:t xml:space="preserve"> är mer transparenta än </w:t>
      </w:r>
      <w:r>
        <w:rPr>
          <w:rFonts w:ascii="Calibri" w:hAnsi="Calibri" w:cs="Calibri"/>
          <w:color w:val="000000"/>
        </w:rPr>
        <w:t xml:space="preserve">traditionella avtal och </w:t>
      </w:r>
      <w:r w:rsidRPr="00125ED6">
        <w:rPr>
          <w:rFonts w:ascii="Calibri" w:hAnsi="Calibri" w:cs="Calibri"/>
          <w:color w:val="000000"/>
        </w:rPr>
        <w:t>tillåt</w:t>
      </w:r>
      <w:r>
        <w:rPr>
          <w:rFonts w:ascii="Calibri" w:hAnsi="Calibri" w:cs="Calibri"/>
          <w:color w:val="000000"/>
        </w:rPr>
        <w:t>er</w:t>
      </w:r>
      <w:r w:rsidRPr="00125ED6">
        <w:rPr>
          <w:rFonts w:ascii="Calibri" w:hAnsi="Calibri" w:cs="Calibri"/>
          <w:color w:val="000000"/>
        </w:rPr>
        <w:t xml:space="preserve"> författar</w:t>
      </w:r>
      <w:r>
        <w:rPr>
          <w:rFonts w:ascii="Calibri" w:hAnsi="Calibri" w:cs="Calibri"/>
          <w:color w:val="000000"/>
        </w:rPr>
        <w:t>na</w:t>
      </w:r>
      <w:r w:rsidRPr="00125ED6">
        <w:rPr>
          <w:rFonts w:ascii="Calibri" w:hAnsi="Calibri" w:cs="Calibri"/>
          <w:color w:val="000000"/>
        </w:rPr>
        <w:t xml:space="preserve"> att behålla upphovsrätten</w:t>
      </w:r>
      <w:r>
        <w:rPr>
          <w:rFonts w:ascii="Calibri" w:hAnsi="Calibri" w:cs="Calibri"/>
          <w:color w:val="000000"/>
        </w:rPr>
        <w:t>.</w:t>
      </w:r>
    </w:p>
    <w:p w14:paraId="385234EE" w14:textId="77777777" w:rsidR="00A626A8" w:rsidRDefault="00A626A8" w:rsidP="00C428AD">
      <w:pPr>
        <w:rPr>
          <w:rFonts w:ascii="Calibri" w:hAnsi="Calibri" w:cs="Calibri"/>
          <w:color w:val="000000"/>
        </w:rPr>
      </w:pPr>
      <w:r>
        <w:rPr>
          <w:rFonts w:ascii="Calibri" w:hAnsi="Calibri" w:cs="Calibri"/>
          <w:color w:val="000000"/>
        </w:rPr>
        <w:t xml:space="preserve">Ett amerikanskt universitetets första intryck av LP med Wiley blev en positiv erfarenhet då forskarna tyckte att det var smidigt att publicera öppet med hjälp av det och för bibliotekariernas del blev de bättre förhandlare </w:t>
      </w:r>
      <w:r>
        <w:rPr>
          <w:rFonts w:ascii="Calibri" w:hAnsi="Calibri" w:cs="Calibri"/>
          <w:noProof/>
          <w:color w:val="000000"/>
        </w:rPr>
        <w:t>(Huffman, 2022)</w:t>
      </w:r>
      <w:r>
        <w:rPr>
          <w:rFonts w:ascii="Calibri" w:hAnsi="Calibri" w:cs="Calibri"/>
          <w:color w:val="000000"/>
        </w:rPr>
        <w:t xml:space="preserve">. Ytterligare en studie </w:t>
      </w:r>
      <w:r>
        <w:rPr>
          <w:rFonts w:ascii="Calibri" w:hAnsi="Calibri" w:cs="Calibri"/>
          <w:noProof/>
          <w:color w:val="000000"/>
        </w:rPr>
        <w:t>(Rita et al., 2021)</w:t>
      </w:r>
      <w:r>
        <w:rPr>
          <w:rFonts w:ascii="Calibri" w:hAnsi="Calibri" w:cs="Calibri"/>
          <w:color w:val="000000"/>
        </w:rPr>
        <w:t xml:space="preserve"> har poängterat att det med TA blivit enklare process för forskarna att publicera sig. Fördelarna med det svenska pilotavtalet har varit en ökning av antalet publicerade öppet tillgängliga artiklar och att arbetsflödet för att publicera dessa har förenklats för forskarna </w:t>
      </w:r>
      <w:r>
        <w:rPr>
          <w:rFonts w:ascii="Calibri" w:hAnsi="Calibri" w:cs="Calibri"/>
          <w:noProof/>
          <w:color w:val="000000"/>
        </w:rPr>
        <w:t>(Olsson et al., 2020)</w:t>
      </w:r>
      <w:r>
        <w:rPr>
          <w:rFonts w:ascii="Calibri" w:hAnsi="Calibri" w:cs="Calibri"/>
          <w:color w:val="000000"/>
        </w:rPr>
        <w:t>.</w:t>
      </w:r>
    </w:p>
    <w:p w14:paraId="44C5539F" w14:textId="77777777" w:rsidR="00A626A8" w:rsidRDefault="00A626A8" w:rsidP="00C428AD">
      <w:pPr>
        <w:rPr>
          <w:rFonts w:asciiTheme="minorHAnsi" w:hAnsiTheme="minorHAnsi" w:cstheme="minorHAnsi"/>
        </w:rPr>
      </w:pPr>
      <w:r>
        <w:rPr>
          <w:rFonts w:asciiTheme="minorHAnsi" w:hAnsiTheme="minorHAnsi" w:cstheme="minorHAnsi"/>
        </w:rPr>
        <w:t xml:space="preserve">Förlagschefen </w:t>
      </w:r>
      <w:r>
        <w:rPr>
          <w:rFonts w:asciiTheme="minorHAnsi" w:hAnsiTheme="minorHAnsi" w:cstheme="minorHAnsi"/>
          <w:noProof/>
        </w:rPr>
        <w:t>Inchcoombe et al. (2022)</w:t>
      </w:r>
      <w:r>
        <w:rPr>
          <w:rFonts w:asciiTheme="minorHAnsi" w:hAnsiTheme="minorHAnsi" w:cstheme="minorHAnsi"/>
        </w:rPr>
        <w:t xml:space="preserve"> från Springer Nature menar att grunden bakom de transformativa avtalen </w:t>
      </w:r>
      <w:r w:rsidRPr="00122425">
        <w:rPr>
          <w:rFonts w:asciiTheme="minorHAnsi" w:hAnsiTheme="minorHAnsi" w:cstheme="minorHAnsi"/>
        </w:rPr>
        <w:t>ligger en önskan från både konsortier och förlag att göra hållbara affärer som kommer att förändra publiceringslandskapet.</w:t>
      </w:r>
      <w:r>
        <w:rPr>
          <w:rFonts w:asciiTheme="minorHAnsi" w:hAnsiTheme="minorHAnsi" w:cstheme="minorHAnsi"/>
        </w:rPr>
        <w:t xml:space="preserve"> OA</w:t>
      </w:r>
      <w:r w:rsidRPr="00122425">
        <w:rPr>
          <w:rFonts w:asciiTheme="minorHAnsi" w:hAnsiTheme="minorHAnsi" w:cstheme="minorHAnsi"/>
        </w:rPr>
        <w:t xml:space="preserve">-användningen har vanligtvis varit högre inom </w:t>
      </w:r>
      <w:r>
        <w:rPr>
          <w:rFonts w:asciiTheme="minorHAnsi" w:hAnsiTheme="minorHAnsi" w:cstheme="minorHAnsi"/>
        </w:rPr>
        <w:t>vissa discipliner</w:t>
      </w:r>
      <w:r w:rsidRPr="00122425">
        <w:rPr>
          <w:rFonts w:asciiTheme="minorHAnsi" w:hAnsiTheme="minorHAnsi" w:cstheme="minorHAnsi"/>
        </w:rPr>
        <w:t xml:space="preserve"> som genetik, medicin och folkhälsa och lägre inom humaniora och samhällsvetenskap. Orsakerna till detta har i första hand kretsat kring finansiering</w:t>
      </w:r>
      <w:r>
        <w:rPr>
          <w:rFonts w:asciiTheme="minorHAnsi" w:hAnsiTheme="minorHAnsi" w:cstheme="minorHAnsi"/>
        </w:rPr>
        <w:t>, vilket gör övergången till OA svårare för en del ämnen</w:t>
      </w:r>
      <w:r w:rsidRPr="00122425">
        <w:rPr>
          <w:rFonts w:asciiTheme="minorHAnsi" w:hAnsiTheme="minorHAnsi" w:cstheme="minorHAnsi"/>
        </w:rPr>
        <w:t xml:space="preserve">. </w:t>
      </w:r>
      <w:proofErr w:type="spellStart"/>
      <w:r>
        <w:rPr>
          <w:rFonts w:asciiTheme="minorHAnsi" w:hAnsiTheme="minorHAnsi" w:cstheme="minorHAnsi"/>
        </w:rPr>
        <w:t>Springers</w:t>
      </w:r>
      <w:proofErr w:type="spellEnd"/>
      <w:r>
        <w:rPr>
          <w:rFonts w:asciiTheme="minorHAnsi" w:hAnsiTheme="minorHAnsi" w:cstheme="minorHAnsi"/>
        </w:rPr>
        <w:t xml:space="preserve"> TA har varit </w:t>
      </w:r>
      <w:r w:rsidRPr="00122425">
        <w:rPr>
          <w:rFonts w:asciiTheme="minorHAnsi" w:hAnsiTheme="minorHAnsi" w:cstheme="minorHAnsi"/>
        </w:rPr>
        <w:t xml:space="preserve">disciplinneutral. </w:t>
      </w:r>
      <w:r>
        <w:rPr>
          <w:rFonts w:asciiTheme="minorHAnsi" w:hAnsiTheme="minorHAnsi" w:cstheme="minorHAnsi"/>
        </w:rPr>
        <w:t xml:space="preserve">Effekterna av </w:t>
      </w:r>
      <w:r w:rsidRPr="00122425">
        <w:rPr>
          <w:rFonts w:asciiTheme="minorHAnsi" w:hAnsiTheme="minorHAnsi" w:cstheme="minorHAnsi"/>
        </w:rPr>
        <w:t xml:space="preserve">Springer-avtalet i Storbritannien </w:t>
      </w:r>
      <w:r>
        <w:rPr>
          <w:rFonts w:asciiTheme="minorHAnsi" w:hAnsiTheme="minorHAnsi" w:cstheme="minorHAnsi"/>
        </w:rPr>
        <w:t>visade</w:t>
      </w:r>
      <w:r w:rsidRPr="00122425">
        <w:rPr>
          <w:rFonts w:asciiTheme="minorHAnsi" w:hAnsiTheme="minorHAnsi" w:cstheme="minorHAnsi"/>
        </w:rPr>
        <w:t xml:space="preserve"> på en ökning av </w:t>
      </w:r>
      <w:r>
        <w:rPr>
          <w:rFonts w:asciiTheme="minorHAnsi" w:hAnsiTheme="minorHAnsi" w:cstheme="minorHAnsi"/>
        </w:rPr>
        <w:t>OA</w:t>
      </w:r>
      <w:r w:rsidRPr="00122425">
        <w:rPr>
          <w:rFonts w:asciiTheme="minorHAnsi" w:hAnsiTheme="minorHAnsi" w:cstheme="minorHAnsi"/>
        </w:rPr>
        <w:t>-</w:t>
      </w:r>
      <w:r>
        <w:rPr>
          <w:rFonts w:asciiTheme="minorHAnsi" w:hAnsiTheme="minorHAnsi" w:cstheme="minorHAnsi"/>
        </w:rPr>
        <w:t xml:space="preserve">publiceringar </w:t>
      </w:r>
      <w:r w:rsidRPr="00122425">
        <w:rPr>
          <w:rFonts w:asciiTheme="minorHAnsi" w:hAnsiTheme="minorHAnsi" w:cstheme="minorHAnsi"/>
        </w:rPr>
        <w:t xml:space="preserve">bland discipliner </w:t>
      </w:r>
      <w:r>
        <w:rPr>
          <w:rFonts w:asciiTheme="minorHAnsi" w:hAnsiTheme="minorHAnsi" w:cstheme="minorHAnsi"/>
        </w:rPr>
        <w:t>som matematik och humaniora, som</w:t>
      </w:r>
      <w:r w:rsidRPr="00122425">
        <w:rPr>
          <w:rFonts w:asciiTheme="minorHAnsi" w:hAnsiTheme="minorHAnsi" w:cstheme="minorHAnsi"/>
        </w:rPr>
        <w:t xml:space="preserve"> traditionellt </w:t>
      </w:r>
      <w:r>
        <w:rPr>
          <w:rFonts w:asciiTheme="minorHAnsi" w:hAnsiTheme="minorHAnsi" w:cstheme="minorHAnsi"/>
        </w:rPr>
        <w:t>har</w:t>
      </w:r>
      <w:r w:rsidRPr="00122425">
        <w:rPr>
          <w:rFonts w:asciiTheme="minorHAnsi" w:hAnsiTheme="minorHAnsi" w:cstheme="minorHAnsi"/>
        </w:rPr>
        <w:t xml:space="preserve"> låga nivåer</w:t>
      </w:r>
      <w:r>
        <w:rPr>
          <w:rFonts w:asciiTheme="minorHAnsi" w:hAnsiTheme="minorHAnsi" w:cstheme="minorHAnsi"/>
        </w:rPr>
        <w:t xml:space="preserve"> av OA</w:t>
      </w:r>
      <w:r w:rsidRPr="00122425">
        <w:rPr>
          <w:rFonts w:asciiTheme="minorHAnsi" w:hAnsiTheme="minorHAnsi" w:cstheme="minorHAnsi"/>
        </w:rPr>
        <w:t>.</w:t>
      </w:r>
    </w:p>
    <w:p w14:paraId="6125C756" w14:textId="77777777" w:rsidR="00A626A8" w:rsidRDefault="00A626A8" w:rsidP="00C428AD">
      <w:pPr>
        <w:rPr>
          <w:rFonts w:asciiTheme="minorHAnsi" w:hAnsiTheme="minorHAnsi" w:cstheme="minorHAnsi"/>
        </w:rPr>
      </w:pPr>
    </w:p>
    <w:p w14:paraId="015D2083" w14:textId="77777777" w:rsidR="00A626A8" w:rsidRDefault="00A626A8" w:rsidP="00C428AD">
      <w:pPr>
        <w:rPr>
          <w:rFonts w:ascii="Calibri" w:hAnsi="Calibri" w:cs="Calibri"/>
          <w:color w:val="000000"/>
        </w:rPr>
      </w:pPr>
      <w:r>
        <w:rPr>
          <w:rFonts w:ascii="Calibri" w:hAnsi="Calibri" w:cs="Calibri"/>
          <w:color w:val="000000"/>
        </w:rPr>
        <w:t xml:space="preserve">I rapporten från </w:t>
      </w:r>
      <w:r>
        <w:rPr>
          <w:rFonts w:ascii="Calibri" w:hAnsi="Calibri" w:cs="Calibri"/>
          <w:noProof/>
          <w:color w:val="000000"/>
        </w:rPr>
        <w:t>Kungliga biblioteket (2019a, s. 15, 22)</w:t>
      </w:r>
      <w:r>
        <w:rPr>
          <w:rFonts w:ascii="Calibri" w:hAnsi="Calibri" w:cs="Calibri"/>
          <w:color w:val="000000"/>
        </w:rPr>
        <w:t xml:space="preserve"> listas en del fördelar med de nya avtalen, bland annat att omställningen till ett öppet tillgängligt publiceringssystem inte behöver kosta något samt att både forskningsinstitutioner och förlag kommer tjäna på att ha minskad administration när kostnaderna för att prenumerera och att publicera slås ihop. Forskarna har tyckt att det varit smidigt att publicera med avtalen och fler har publicerat öppet än vad de skulle gjort om de själva fick stå för den publiceringskostnaden.</w:t>
      </w:r>
    </w:p>
    <w:p w14:paraId="6CB4F523" w14:textId="77777777" w:rsidR="00A626A8" w:rsidRDefault="00A626A8" w:rsidP="00C428AD">
      <w:pPr>
        <w:rPr>
          <w:rFonts w:ascii="Calibri" w:hAnsi="Calibri" w:cs="Calibri"/>
          <w:color w:val="000000"/>
        </w:rPr>
      </w:pPr>
    </w:p>
    <w:p w14:paraId="752D3EB7" w14:textId="77777777" w:rsidR="00A626A8" w:rsidRDefault="00A626A8" w:rsidP="00C428AD">
      <w:pPr>
        <w:rPr>
          <w:rFonts w:ascii="Calibri" w:hAnsi="Calibri" w:cs="Calibri"/>
          <w:color w:val="000000"/>
        </w:rPr>
      </w:pPr>
      <w:r>
        <w:rPr>
          <w:rFonts w:ascii="Calibri" w:hAnsi="Calibri" w:cs="Calibri"/>
          <w:color w:val="000000"/>
        </w:rPr>
        <w:t xml:space="preserve">En rysk studie </w:t>
      </w:r>
      <w:r>
        <w:rPr>
          <w:rFonts w:ascii="Calibri" w:hAnsi="Calibri" w:cs="Calibri"/>
          <w:noProof/>
          <w:color w:val="000000"/>
        </w:rPr>
        <w:t>(Moskovkin et al., 2022)</w:t>
      </w:r>
      <w:r>
        <w:rPr>
          <w:rFonts w:ascii="Calibri" w:hAnsi="Calibri" w:cs="Calibri"/>
          <w:color w:val="000000"/>
        </w:rPr>
        <w:t xml:space="preserve"> konstaterar att TA är ett effektivt verktyg för att nå OA och att ökningen av OA gör att forskare kan </w:t>
      </w:r>
      <w:r w:rsidRPr="00B43004">
        <w:rPr>
          <w:rFonts w:ascii="Calibri" w:hAnsi="Calibri" w:cs="Calibri"/>
          <w:color w:val="000000"/>
        </w:rPr>
        <w:t>basera sin forskning på de resultat som redan finns, snarare än att starta forskningsprocessen från början</w:t>
      </w:r>
      <w:r>
        <w:rPr>
          <w:rFonts w:ascii="Calibri" w:hAnsi="Calibri" w:cs="Calibri"/>
          <w:color w:val="000000"/>
        </w:rPr>
        <w:t>, vilket främjar</w:t>
      </w:r>
      <w:r w:rsidRPr="00B43004">
        <w:rPr>
          <w:rFonts w:ascii="Calibri" w:hAnsi="Calibri" w:cs="Calibri"/>
          <w:color w:val="000000"/>
        </w:rPr>
        <w:t xml:space="preserve"> vetenskap</w:t>
      </w:r>
      <w:r>
        <w:rPr>
          <w:rFonts w:ascii="Calibri" w:hAnsi="Calibri" w:cs="Calibri"/>
          <w:color w:val="000000"/>
        </w:rPr>
        <w:t>lig</w:t>
      </w:r>
      <w:r w:rsidRPr="00592F2C">
        <w:rPr>
          <w:rFonts w:ascii="Calibri" w:hAnsi="Calibri" w:cs="Calibri"/>
          <w:color w:val="000000"/>
        </w:rPr>
        <w:t xml:space="preserve"> </w:t>
      </w:r>
      <w:r w:rsidRPr="00B43004">
        <w:rPr>
          <w:rFonts w:ascii="Calibri" w:hAnsi="Calibri" w:cs="Calibri"/>
          <w:color w:val="000000"/>
        </w:rPr>
        <w:t>utveckling</w:t>
      </w:r>
      <w:r>
        <w:rPr>
          <w:rFonts w:ascii="Calibri" w:hAnsi="Calibri" w:cs="Calibri"/>
          <w:color w:val="000000"/>
        </w:rPr>
        <w:t>.</w:t>
      </w:r>
    </w:p>
    <w:p w14:paraId="63CBF9B9" w14:textId="77777777" w:rsidR="00A626A8" w:rsidRDefault="00A626A8" w:rsidP="00C428AD">
      <w:pPr>
        <w:rPr>
          <w:rFonts w:ascii="Calibri" w:hAnsi="Calibri" w:cs="Calibri"/>
          <w:color w:val="000000"/>
        </w:rPr>
      </w:pPr>
    </w:p>
    <w:p w14:paraId="2338292B" w14:textId="77777777" w:rsidR="00A626A8" w:rsidRPr="00C428AD" w:rsidRDefault="00A626A8" w:rsidP="00C428AD">
      <w:pPr>
        <w:pStyle w:val="Rubrik3"/>
      </w:pPr>
      <w:r>
        <w:t>Negativa erfarenheter och farhågor</w:t>
      </w:r>
    </w:p>
    <w:p w14:paraId="3C900CDF" w14:textId="77777777" w:rsidR="00A626A8" w:rsidRDefault="00A626A8" w:rsidP="003602BD">
      <w:pPr>
        <w:rPr>
          <w:rFonts w:ascii="Calibri" w:hAnsi="Calibri" w:cs="Calibri"/>
          <w:color w:val="000000"/>
        </w:rPr>
      </w:pPr>
      <w:r>
        <w:rPr>
          <w:rFonts w:ascii="Calibri" w:hAnsi="Calibri" w:cs="Calibri"/>
          <w:color w:val="000000"/>
        </w:rPr>
        <w:t xml:space="preserve">I University </w:t>
      </w:r>
      <w:proofErr w:type="spellStart"/>
      <w:r>
        <w:rPr>
          <w:rFonts w:ascii="Calibri" w:hAnsi="Calibri" w:cs="Calibri"/>
          <w:color w:val="000000"/>
        </w:rPr>
        <w:t>of</w:t>
      </w:r>
      <w:proofErr w:type="spellEnd"/>
      <w:r>
        <w:rPr>
          <w:rFonts w:ascii="Calibri" w:hAnsi="Calibri" w:cs="Calibri"/>
          <w:color w:val="000000"/>
        </w:rPr>
        <w:t xml:space="preserve"> Pittsburgh har bibliotekets fokus skiftat från att fokusera på universitetets anseende och </w:t>
      </w:r>
      <w:proofErr w:type="spellStart"/>
      <w:r>
        <w:rPr>
          <w:rFonts w:ascii="Calibri" w:hAnsi="Calibri" w:cs="Calibri"/>
          <w:color w:val="000000"/>
        </w:rPr>
        <w:t>bibliometriskt</w:t>
      </w:r>
      <w:proofErr w:type="spellEnd"/>
      <w:r>
        <w:rPr>
          <w:rFonts w:ascii="Calibri" w:hAnsi="Calibri" w:cs="Calibri"/>
          <w:color w:val="000000"/>
        </w:rPr>
        <w:t xml:space="preserve"> leta efter högkvalitativa tidskrifter som universitetets forskare kunde rekommenderas att publicera sig i, till att identifiera förlag som det går att sluta rätt slags </w:t>
      </w:r>
      <w:proofErr w:type="spellStart"/>
      <w:r>
        <w:rPr>
          <w:rFonts w:ascii="Calibri" w:hAnsi="Calibri" w:cs="Calibri"/>
          <w:color w:val="000000"/>
        </w:rPr>
        <w:t>Open</w:t>
      </w:r>
      <w:proofErr w:type="spellEnd"/>
      <w:r>
        <w:rPr>
          <w:rFonts w:ascii="Calibri" w:hAnsi="Calibri" w:cs="Calibri"/>
          <w:color w:val="000000"/>
        </w:rPr>
        <w:t xml:space="preserve"> Access-avtal med </w:t>
      </w:r>
      <w:r>
        <w:rPr>
          <w:rFonts w:ascii="Calibri" w:hAnsi="Calibri" w:cs="Calibri"/>
          <w:noProof/>
          <w:color w:val="000000"/>
        </w:rPr>
        <w:t>(Anders et al., 2021)</w:t>
      </w:r>
      <w:r>
        <w:rPr>
          <w:rFonts w:ascii="Calibri" w:hAnsi="Calibri" w:cs="Calibri"/>
          <w:color w:val="000000"/>
        </w:rPr>
        <w:t>. Ö</w:t>
      </w:r>
      <w:r w:rsidRPr="00086E63">
        <w:rPr>
          <w:rFonts w:ascii="Calibri" w:hAnsi="Calibri" w:cs="Calibri"/>
          <w:color w:val="000000"/>
        </w:rPr>
        <w:t xml:space="preserve">vergångsperioden till </w:t>
      </w:r>
      <w:r>
        <w:rPr>
          <w:rFonts w:ascii="Calibri" w:hAnsi="Calibri" w:cs="Calibri"/>
          <w:color w:val="000000"/>
        </w:rPr>
        <w:t>TA</w:t>
      </w:r>
      <w:r w:rsidRPr="00086E63">
        <w:rPr>
          <w:rFonts w:ascii="Calibri" w:hAnsi="Calibri" w:cs="Calibri"/>
          <w:color w:val="000000"/>
        </w:rPr>
        <w:t xml:space="preserve"> orsakar </w:t>
      </w:r>
      <w:r>
        <w:rPr>
          <w:rFonts w:ascii="Calibri" w:hAnsi="Calibri" w:cs="Calibri"/>
          <w:color w:val="000000"/>
        </w:rPr>
        <w:t xml:space="preserve">även </w:t>
      </w:r>
      <w:r w:rsidRPr="00086E63">
        <w:rPr>
          <w:rFonts w:ascii="Calibri" w:hAnsi="Calibri" w:cs="Calibri"/>
          <w:color w:val="000000"/>
        </w:rPr>
        <w:lastRenderedPageBreak/>
        <w:t xml:space="preserve">svårigheter </w:t>
      </w:r>
      <w:r>
        <w:rPr>
          <w:rFonts w:ascii="Calibri" w:hAnsi="Calibri" w:cs="Calibri"/>
          <w:color w:val="000000"/>
        </w:rPr>
        <w:t>för forskare</w:t>
      </w:r>
      <w:r w:rsidRPr="00086E63">
        <w:rPr>
          <w:rFonts w:ascii="Calibri" w:hAnsi="Calibri" w:cs="Calibri"/>
          <w:color w:val="000000"/>
        </w:rPr>
        <w:t xml:space="preserve">, som </w:t>
      </w:r>
      <w:r>
        <w:rPr>
          <w:rFonts w:ascii="Calibri" w:hAnsi="Calibri" w:cs="Calibri"/>
          <w:color w:val="000000"/>
        </w:rPr>
        <w:t xml:space="preserve">i vissa fall inte får åtkomst till sina vanliga tidskrifter </w:t>
      </w:r>
      <w:r>
        <w:rPr>
          <w:rFonts w:ascii="Calibri" w:hAnsi="Calibri" w:cs="Calibri"/>
          <w:noProof/>
          <w:color w:val="000000"/>
        </w:rPr>
        <w:t>(Cooper &amp; Rieger, 2021)</w:t>
      </w:r>
      <w:r>
        <w:rPr>
          <w:rFonts w:ascii="Calibri" w:hAnsi="Calibri" w:cs="Calibri"/>
          <w:color w:val="000000"/>
        </w:rPr>
        <w:t xml:space="preserve">. </w:t>
      </w:r>
      <w:r w:rsidRPr="00570174">
        <w:rPr>
          <w:rFonts w:ascii="Calibri" w:hAnsi="Calibri" w:cs="Calibri"/>
          <w:color w:val="000000"/>
        </w:rPr>
        <w:t>Användningsdata och kostnadsanalyser spelar en mycket mindre roll i förhandlingsprocessen</w:t>
      </w:r>
      <w:r>
        <w:rPr>
          <w:rFonts w:ascii="Calibri" w:hAnsi="Calibri" w:cs="Calibri"/>
          <w:color w:val="000000"/>
        </w:rPr>
        <w:t>.</w:t>
      </w:r>
      <w:r w:rsidRPr="00570174">
        <w:rPr>
          <w:rFonts w:ascii="Calibri" w:hAnsi="Calibri" w:cs="Calibri"/>
          <w:color w:val="000000"/>
        </w:rPr>
        <w:t xml:space="preserve"> </w:t>
      </w:r>
      <w:r>
        <w:rPr>
          <w:rFonts w:ascii="Calibri" w:hAnsi="Calibri" w:cs="Calibri"/>
          <w:color w:val="000000"/>
        </w:rPr>
        <w:t>Istället får data för</w:t>
      </w:r>
      <w:r w:rsidRPr="00570174">
        <w:rPr>
          <w:rFonts w:ascii="Calibri" w:hAnsi="Calibri" w:cs="Calibri"/>
          <w:color w:val="000000"/>
        </w:rPr>
        <w:t xml:space="preserve"> vilka tidskrifter fakulteten publicerar</w:t>
      </w:r>
      <w:r>
        <w:rPr>
          <w:rFonts w:ascii="Calibri" w:hAnsi="Calibri" w:cs="Calibri"/>
          <w:color w:val="000000"/>
        </w:rPr>
        <w:t xml:space="preserve"> i</w:t>
      </w:r>
      <w:r w:rsidRPr="00570174">
        <w:rPr>
          <w:rFonts w:ascii="Calibri" w:hAnsi="Calibri" w:cs="Calibri"/>
          <w:color w:val="000000"/>
        </w:rPr>
        <w:t>, publiceringsfördelningen mellan discipliner och vem som tilldelas forskningsanslag</w:t>
      </w:r>
      <w:r>
        <w:rPr>
          <w:rFonts w:ascii="Calibri" w:hAnsi="Calibri" w:cs="Calibri"/>
          <w:color w:val="000000"/>
        </w:rPr>
        <w:t xml:space="preserve"> en större roll </w:t>
      </w:r>
      <w:r>
        <w:rPr>
          <w:rFonts w:ascii="Calibri" w:hAnsi="Calibri" w:cs="Calibri"/>
          <w:noProof/>
          <w:color w:val="000000"/>
        </w:rPr>
        <w:t>(Anders et al., 2021)</w:t>
      </w:r>
      <w:r w:rsidRPr="00570174">
        <w:rPr>
          <w:rFonts w:ascii="Calibri" w:hAnsi="Calibri" w:cs="Calibri"/>
          <w:color w:val="000000"/>
        </w:rPr>
        <w:t xml:space="preserve">. </w:t>
      </w:r>
      <w:r>
        <w:rPr>
          <w:rFonts w:ascii="Calibri" w:hAnsi="Calibri" w:cs="Calibri"/>
          <w:color w:val="000000"/>
        </w:rPr>
        <w:t xml:space="preserve">Samma bibliotek har upptäckt att </w:t>
      </w:r>
      <w:r w:rsidRPr="00E20FB5">
        <w:rPr>
          <w:rFonts w:ascii="Calibri" w:hAnsi="Calibri" w:cs="Calibri"/>
          <w:color w:val="000000"/>
        </w:rPr>
        <w:t>läs- och publiceringsavtal</w:t>
      </w:r>
      <w:r>
        <w:rPr>
          <w:rFonts w:ascii="Calibri" w:hAnsi="Calibri" w:cs="Calibri"/>
          <w:color w:val="000000"/>
        </w:rPr>
        <w:t xml:space="preserve"> skapar en kostnadsbörda för institutioner som publicerar mycket. Risken är att det skapar obalans om en institution bidrar med mycket då det kan leda till att andra subventioneras eller att ”fripassagerare” kommer att utnyttja detta. Även </w:t>
      </w:r>
      <w:r>
        <w:rPr>
          <w:rFonts w:ascii="Calibri" w:hAnsi="Calibri" w:cs="Calibri"/>
          <w:noProof/>
          <w:color w:val="000000"/>
        </w:rPr>
        <w:t>Rita et al. (2021)</w:t>
      </w:r>
      <w:r>
        <w:rPr>
          <w:rFonts w:ascii="Calibri" w:hAnsi="Calibri" w:cs="Calibri"/>
          <w:color w:val="000000"/>
        </w:rPr>
        <w:t xml:space="preserve"> pekar på att data har </w:t>
      </w:r>
      <w:r w:rsidRPr="003510FF">
        <w:rPr>
          <w:rFonts w:ascii="Calibri" w:hAnsi="Calibri" w:cs="Calibri"/>
          <w:color w:val="000000"/>
        </w:rPr>
        <w:t xml:space="preserve">visat en ökning av antalet artiklar som publicerats, ofta av institutioner som redan </w:t>
      </w:r>
      <w:r>
        <w:rPr>
          <w:rFonts w:ascii="Calibri" w:hAnsi="Calibri" w:cs="Calibri"/>
          <w:color w:val="000000"/>
        </w:rPr>
        <w:t>har</w:t>
      </w:r>
      <w:r w:rsidRPr="003510FF">
        <w:rPr>
          <w:rFonts w:ascii="Calibri" w:hAnsi="Calibri" w:cs="Calibri"/>
          <w:color w:val="000000"/>
        </w:rPr>
        <w:t xml:space="preserve"> hö</w:t>
      </w:r>
      <w:r>
        <w:rPr>
          <w:rFonts w:ascii="Calibri" w:hAnsi="Calibri" w:cs="Calibri"/>
          <w:color w:val="000000"/>
        </w:rPr>
        <w:t>g</w:t>
      </w:r>
      <w:r w:rsidRPr="003510FF">
        <w:rPr>
          <w:rFonts w:ascii="Calibri" w:hAnsi="Calibri" w:cs="Calibri"/>
          <w:color w:val="000000"/>
        </w:rPr>
        <w:t xml:space="preserve"> </w:t>
      </w:r>
      <w:r>
        <w:rPr>
          <w:rFonts w:ascii="Calibri" w:hAnsi="Calibri" w:cs="Calibri"/>
          <w:color w:val="000000"/>
        </w:rPr>
        <w:t>publicerings</w:t>
      </w:r>
      <w:r w:rsidRPr="003510FF">
        <w:rPr>
          <w:rFonts w:ascii="Calibri" w:hAnsi="Calibri" w:cs="Calibri"/>
          <w:color w:val="000000"/>
        </w:rPr>
        <w:t xml:space="preserve">nivå, vilket </w:t>
      </w:r>
      <w:r>
        <w:rPr>
          <w:rFonts w:ascii="Calibri" w:hAnsi="Calibri" w:cs="Calibri"/>
          <w:color w:val="000000"/>
        </w:rPr>
        <w:t>avbryter utvecklingen av</w:t>
      </w:r>
      <w:r w:rsidRPr="003510FF">
        <w:rPr>
          <w:rFonts w:ascii="Calibri" w:hAnsi="Calibri" w:cs="Calibri"/>
          <w:color w:val="000000"/>
        </w:rPr>
        <w:t xml:space="preserve"> att flytta kostnader från de institutioner som främst läser</w:t>
      </w:r>
      <w:r>
        <w:rPr>
          <w:rFonts w:ascii="Calibri" w:hAnsi="Calibri" w:cs="Calibri"/>
          <w:color w:val="000000"/>
        </w:rPr>
        <w:t>.</w:t>
      </w:r>
    </w:p>
    <w:p w14:paraId="7D4A8DF7" w14:textId="77777777" w:rsidR="00A626A8" w:rsidRDefault="00A626A8" w:rsidP="003602BD">
      <w:pPr>
        <w:rPr>
          <w:rFonts w:ascii="Calibri" w:hAnsi="Calibri" w:cs="Calibri"/>
          <w:color w:val="000000"/>
        </w:rPr>
      </w:pPr>
    </w:p>
    <w:p w14:paraId="30353D75" w14:textId="77777777" w:rsidR="00A626A8" w:rsidRPr="005B6A58" w:rsidRDefault="00A626A8" w:rsidP="003602BD">
      <w:pPr>
        <w:rPr>
          <w:rFonts w:ascii="Calibri" w:hAnsi="Calibri" w:cs="Calibri"/>
          <w:color w:val="000000"/>
        </w:rPr>
      </w:pPr>
      <w:r>
        <w:rPr>
          <w:rFonts w:ascii="Calibri" w:hAnsi="Calibri" w:cs="Calibri"/>
          <w:color w:val="000000"/>
        </w:rPr>
        <w:t>Det inte är säkert att</w:t>
      </w:r>
      <w:r w:rsidRPr="00DE666A">
        <w:rPr>
          <w:rFonts w:ascii="Calibri" w:hAnsi="Calibri" w:cs="Calibri"/>
          <w:color w:val="000000"/>
        </w:rPr>
        <w:t xml:space="preserve"> transparensen</w:t>
      </w:r>
      <w:r>
        <w:rPr>
          <w:rFonts w:ascii="Calibri" w:hAnsi="Calibri" w:cs="Calibri"/>
          <w:color w:val="000000"/>
        </w:rPr>
        <w:t xml:space="preserve"> för avtalen</w:t>
      </w:r>
      <w:r w:rsidRPr="00DE666A">
        <w:rPr>
          <w:rFonts w:ascii="Calibri" w:hAnsi="Calibri" w:cs="Calibri"/>
          <w:color w:val="000000"/>
        </w:rPr>
        <w:t xml:space="preserve"> ökar</w:t>
      </w:r>
      <w:r>
        <w:rPr>
          <w:rFonts w:ascii="Calibri" w:hAnsi="Calibri" w:cs="Calibri"/>
          <w:color w:val="000000"/>
        </w:rPr>
        <w:t xml:space="preserve"> och de forskare som nyttjar avtalen kanske inte är så medvetna om att vad de tjänster som de tar för givet faktiskt kostar </w:t>
      </w:r>
      <w:r>
        <w:rPr>
          <w:rFonts w:ascii="Calibri" w:hAnsi="Calibri" w:cs="Calibri"/>
          <w:noProof/>
          <w:color w:val="000000"/>
        </w:rPr>
        <w:t>Kungliga biblioteket (2019a, s. 15, 22)</w:t>
      </w:r>
      <w:r>
        <w:rPr>
          <w:rFonts w:ascii="Calibri" w:hAnsi="Calibri" w:cs="Calibri"/>
          <w:color w:val="000000"/>
        </w:rPr>
        <w:t xml:space="preserve">. När kostnaden för avtalen inte är offentliggjorda underminerar det transparensen som var tänkt att sänka publiceringskostnaderna </w:t>
      </w:r>
      <w:r>
        <w:rPr>
          <w:rFonts w:ascii="Calibri" w:hAnsi="Calibri" w:cs="Calibri"/>
          <w:noProof/>
          <w:color w:val="000000"/>
        </w:rPr>
        <w:t>(Meagher, 2021)</w:t>
      </w:r>
      <w:r>
        <w:rPr>
          <w:rFonts w:ascii="Calibri" w:hAnsi="Calibri" w:cs="Calibri"/>
          <w:color w:val="000000"/>
        </w:rPr>
        <w:t xml:space="preserve">. De kritiserade avtalen med hybridtidskrifter riskerar att cementeras vilket ger en fördel för de förlag som har hybridtidskrifter mot förlag som ger ut ren </w:t>
      </w:r>
      <w:proofErr w:type="spellStart"/>
      <w:r>
        <w:rPr>
          <w:rFonts w:ascii="Calibri" w:hAnsi="Calibri" w:cs="Calibri"/>
          <w:color w:val="000000"/>
        </w:rPr>
        <w:t>Open</w:t>
      </w:r>
      <w:proofErr w:type="spellEnd"/>
      <w:r>
        <w:rPr>
          <w:rFonts w:ascii="Calibri" w:hAnsi="Calibri" w:cs="Calibri"/>
          <w:color w:val="000000"/>
        </w:rPr>
        <w:t xml:space="preserve"> Access </w:t>
      </w:r>
      <w:r>
        <w:rPr>
          <w:rFonts w:ascii="Calibri" w:hAnsi="Calibri" w:cs="Calibri"/>
          <w:noProof/>
          <w:color w:val="000000"/>
        </w:rPr>
        <w:t>(Kungliga biblioteket, 2019a, s. 15-16)</w:t>
      </w:r>
      <w:r>
        <w:rPr>
          <w:rFonts w:ascii="Calibri" w:hAnsi="Calibri" w:cs="Calibri"/>
          <w:color w:val="000000"/>
        </w:rPr>
        <w:t xml:space="preserve">. Problemen med hybridtidskrifter består även av bristande transparens på sådana avtal och att det inte tycks öka med TA </w:t>
      </w:r>
      <w:r>
        <w:rPr>
          <w:rFonts w:ascii="Calibri" w:hAnsi="Calibri" w:cs="Calibri"/>
          <w:noProof/>
          <w:color w:val="000000"/>
        </w:rPr>
        <w:t>(Jahn et al., 2022)</w:t>
      </w:r>
      <w:r>
        <w:rPr>
          <w:rFonts w:ascii="Calibri" w:hAnsi="Calibri" w:cs="Calibri"/>
          <w:color w:val="000000"/>
        </w:rPr>
        <w:t xml:space="preserve">. Det finns även svårigheter med att se hur nästa steg mot ett öppet tillgängligt publiceringssystem ska se ut och risker med att förlagen inte vill omvandla sina tidskrifter till helt fritt tillgängliga eftersom de inte vill minska sina intäkter. Även andra studier har poängterat att det inte är helt bevisat att de transformativa avtalen kommer ändra systemet från ett slutet till ett helt öppet, bland annat eftersom avtalen inte är kontinuerliga </w:t>
      </w:r>
      <w:r>
        <w:rPr>
          <w:rFonts w:ascii="Calibri" w:hAnsi="Calibri" w:cs="Calibri"/>
          <w:noProof/>
          <w:color w:val="000000"/>
        </w:rPr>
        <w:t>(Bansode &amp; Pujar, 2022; Borrego et al., 2021; Farley et al., 2021)</w:t>
      </w:r>
      <w:r>
        <w:rPr>
          <w:rFonts w:ascii="Calibri" w:hAnsi="Calibri" w:cs="Calibri"/>
          <w:color w:val="000000"/>
        </w:rPr>
        <w:t xml:space="preserve">. </w:t>
      </w:r>
      <w:r>
        <w:rPr>
          <w:rFonts w:ascii="Calibri" w:hAnsi="Calibri" w:cs="Calibri"/>
          <w:noProof/>
          <w:color w:val="000000"/>
        </w:rPr>
        <w:t>Kungliga biblioteket (2019a, s. 26)</w:t>
      </w:r>
      <w:r>
        <w:rPr>
          <w:rFonts w:ascii="Calibri" w:hAnsi="Calibri" w:cs="Calibri"/>
          <w:color w:val="000000"/>
        </w:rPr>
        <w:t xml:space="preserve"> poängterar i sina slutsatser av rapporten att det är mycket svårt och komplext att analysera effekterna av de nya avtalen på grund av att de ser så olika ut och att det finns så mycket sekretess kring dem. En indisk studie </w:t>
      </w:r>
      <w:r>
        <w:rPr>
          <w:rFonts w:ascii="Calibri" w:hAnsi="Calibri" w:cs="Calibri"/>
          <w:noProof/>
          <w:color w:val="000000"/>
        </w:rPr>
        <w:t>(Bansode &amp; Pujar, 2022)</w:t>
      </w:r>
      <w:r>
        <w:rPr>
          <w:rFonts w:ascii="Calibri" w:hAnsi="Calibri" w:cs="Calibri"/>
          <w:color w:val="000000"/>
        </w:rPr>
        <w:t xml:space="preserve"> som analyserat europeiska och amerikanska TA är kritiska till att avtalen främst har slutits med större kommersiella förlag och inte med rena OA-förlag eller mindre förlag, vilket göra att de stora fortsätter att växa. </w:t>
      </w:r>
    </w:p>
    <w:p w14:paraId="05838DBF" w14:textId="77777777" w:rsidR="00A626A8" w:rsidRPr="003602BD" w:rsidRDefault="00A626A8" w:rsidP="00122425">
      <w:pPr>
        <w:rPr>
          <w:rFonts w:asciiTheme="minorHAnsi" w:hAnsiTheme="minorHAnsi" w:cstheme="minorHAnsi"/>
        </w:rPr>
      </w:pPr>
      <w:r>
        <w:rPr>
          <w:rFonts w:asciiTheme="minorHAnsi" w:hAnsiTheme="minorHAnsi" w:cstheme="minorHAnsi"/>
          <w:noProof/>
        </w:rPr>
        <w:t>Inchcoombe et al. (2022)</w:t>
      </w:r>
      <w:r>
        <w:rPr>
          <w:rFonts w:asciiTheme="minorHAnsi" w:hAnsiTheme="minorHAnsi" w:cstheme="minorHAnsi"/>
        </w:rPr>
        <w:t xml:space="preserve"> anser att en stor utmaning med TA har varit att omvandla selektiva högkvalitativa tidskrifter till OA. Först 2020 kom ett TA med en Nature-tidskrift. </w:t>
      </w:r>
    </w:p>
    <w:p w14:paraId="22E17C81" w14:textId="77777777" w:rsidR="00A626A8" w:rsidRPr="00116008" w:rsidRDefault="00A626A8" w:rsidP="00643CB6">
      <w:pPr>
        <w:pStyle w:val="Rubrik1"/>
      </w:pPr>
      <w:r w:rsidRPr="00116008">
        <w:t>Diskussion</w:t>
      </w:r>
    </w:p>
    <w:p w14:paraId="3F722978" w14:textId="77777777" w:rsidR="00A626A8" w:rsidRDefault="00A626A8" w:rsidP="0089291E">
      <w:pPr>
        <w:rPr>
          <w:rFonts w:ascii="Calibri" w:hAnsi="Calibri" w:cs="Calibri"/>
          <w:color w:val="000000"/>
        </w:rPr>
      </w:pPr>
      <w:r>
        <w:rPr>
          <w:rFonts w:ascii="Calibri" w:hAnsi="Calibri" w:cs="Calibri"/>
          <w:color w:val="000000"/>
        </w:rPr>
        <w:t>Syftet med studien är att samla in erfarenheter och undersöka v</w:t>
      </w:r>
      <w:r w:rsidRPr="00912BC7">
        <w:rPr>
          <w:rFonts w:ascii="Calibri" w:hAnsi="Calibri" w:cs="Calibri"/>
          <w:color w:val="000000"/>
        </w:rPr>
        <w:t xml:space="preserve">ilka </w:t>
      </w:r>
      <w:r>
        <w:rPr>
          <w:rFonts w:ascii="Calibri" w:hAnsi="Calibri" w:cs="Calibri"/>
          <w:color w:val="000000"/>
        </w:rPr>
        <w:t>tänkbara k</w:t>
      </w:r>
      <w:r w:rsidRPr="00912BC7">
        <w:rPr>
          <w:rFonts w:ascii="Calibri" w:hAnsi="Calibri" w:cs="Calibri"/>
          <w:color w:val="000000"/>
        </w:rPr>
        <w:t xml:space="preserve">onsekvenser en övergång till </w:t>
      </w:r>
      <w:r>
        <w:rPr>
          <w:rFonts w:ascii="Calibri" w:hAnsi="Calibri" w:cs="Calibri"/>
          <w:color w:val="000000"/>
        </w:rPr>
        <w:t>LP</w:t>
      </w:r>
      <w:r w:rsidRPr="00912BC7">
        <w:rPr>
          <w:rFonts w:ascii="Calibri" w:hAnsi="Calibri" w:cs="Calibri"/>
          <w:color w:val="000000"/>
        </w:rPr>
        <w:t xml:space="preserve"> eller </w:t>
      </w:r>
      <w:r>
        <w:rPr>
          <w:rFonts w:ascii="Calibri" w:hAnsi="Calibri" w:cs="Calibri"/>
          <w:color w:val="000000"/>
        </w:rPr>
        <w:t>TA</w:t>
      </w:r>
      <w:r w:rsidRPr="00912BC7">
        <w:rPr>
          <w:rFonts w:ascii="Calibri" w:hAnsi="Calibri" w:cs="Calibri"/>
          <w:color w:val="000000"/>
        </w:rPr>
        <w:t xml:space="preserve"> kan få</w:t>
      </w:r>
      <w:r>
        <w:rPr>
          <w:rFonts w:ascii="Calibri" w:hAnsi="Calibri" w:cs="Calibri"/>
          <w:color w:val="000000"/>
        </w:rPr>
        <w:t xml:space="preserve">. Särskilt fokus ligger på Sverige, Nederländerna och Storbritannien som var tidiga med LP och att belysa negativa och positiva erfarenheter samt farhågor och förhoppningar. </w:t>
      </w:r>
    </w:p>
    <w:p w14:paraId="19ADBACF" w14:textId="77777777" w:rsidR="00A626A8" w:rsidRDefault="00A626A8" w:rsidP="00643CB6">
      <w:pPr>
        <w:rPr>
          <w:rFonts w:ascii="Calibri" w:hAnsi="Calibri" w:cs="Calibri"/>
          <w:color w:val="000000"/>
        </w:rPr>
      </w:pPr>
    </w:p>
    <w:p w14:paraId="38E4655A" w14:textId="77777777" w:rsidR="00A626A8" w:rsidRDefault="00A626A8" w:rsidP="00643CB6">
      <w:pPr>
        <w:rPr>
          <w:rFonts w:ascii="Calibri" w:hAnsi="Calibri" w:cs="Calibri"/>
          <w:color w:val="000000"/>
        </w:rPr>
      </w:pPr>
      <w:r>
        <w:rPr>
          <w:rFonts w:ascii="Calibri" w:hAnsi="Calibri" w:cs="Calibri"/>
          <w:color w:val="000000"/>
        </w:rPr>
        <w:t xml:space="preserve">Gemensamt för Nederländerna, Storbritannien och Sverige är att alla har valt att förlänga eller teckna nya TA. Ur ett ekonomiskt perspektiv så blev Nederländernas och Storbritanniens första erfarenheter kostnadsneutrala till skillnad mot Sveriges som var dyrt. </w:t>
      </w:r>
      <w:r>
        <w:rPr>
          <w:rFonts w:asciiTheme="minorHAnsi" w:hAnsiTheme="minorHAnsi" w:cstheme="minorHAnsi"/>
        </w:rPr>
        <w:t>Med</w:t>
      </w:r>
      <w:r>
        <w:rPr>
          <w:rFonts w:asciiTheme="minorHAnsi" w:hAnsiTheme="minorHAnsi" w:cstheme="minorHAnsi"/>
        </w:rPr>
        <w:t xml:space="preserve"> en erfarenhet rikare </w:t>
      </w:r>
      <w:r>
        <w:rPr>
          <w:rFonts w:asciiTheme="minorHAnsi" w:hAnsiTheme="minorHAnsi" w:cstheme="minorHAnsi"/>
        </w:rPr>
        <w:t xml:space="preserve">blev </w:t>
      </w:r>
      <w:proofErr w:type="spellStart"/>
      <w:r>
        <w:rPr>
          <w:rFonts w:asciiTheme="minorHAnsi" w:hAnsiTheme="minorHAnsi" w:cstheme="minorHAnsi"/>
        </w:rPr>
        <w:t>Bibsam</w:t>
      </w:r>
      <w:proofErr w:type="spellEnd"/>
      <w:r>
        <w:rPr>
          <w:rFonts w:asciiTheme="minorHAnsi" w:hAnsiTheme="minorHAnsi" w:cstheme="minorHAnsi"/>
        </w:rPr>
        <w:t xml:space="preserve"> bättre på </w:t>
      </w:r>
      <w:r>
        <w:rPr>
          <w:rFonts w:asciiTheme="minorHAnsi" w:hAnsiTheme="minorHAnsi" w:cstheme="minorHAnsi"/>
        </w:rPr>
        <w:t xml:space="preserve">att omförhandla och kalibrera </w:t>
      </w:r>
      <w:r>
        <w:rPr>
          <w:rFonts w:asciiTheme="minorHAnsi" w:hAnsiTheme="minorHAnsi" w:cstheme="minorHAnsi"/>
        </w:rPr>
        <w:t>kommande</w:t>
      </w:r>
      <w:r>
        <w:rPr>
          <w:rFonts w:asciiTheme="minorHAnsi" w:hAnsiTheme="minorHAnsi" w:cstheme="minorHAnsi"/>
        </w:rPr>
        <w:t xml:space="preserve"> avtal.</w:t>
      </w:r>
      <w:r w:rsidRPr="000E448A">
        <w:rPr>
          <w:rFonts w:ascii="Calibri" w:hAnsi="Calibri" w:cs="Calibri"/>
          <w:color w:val="000000"/>
        </w:rPr>
        <w:t xml:space="preserve"> </w:t>
      </w:r>
      <w:r>
        <w:rPr>
          <w:rFonts w:ascii="Calibri" w:hAnsi="Calibri" w:cs="Calibri"/>
          <w:color w:val="000000"/>
        </w:rPr>
        <w:t>K</w:t>
      </w:r>
      <w:r>
        <w:rPr>
          <w:rFonts w:ascii="Calibri" w:hAnsi="Calibri" w:cs="Calibri"/>
          <w:color w:val="000000"/>
        </w:rPr>
        <w:t xml:space="preserve">raven för </w:t>
      </w:r>
      <w:r>
        <w:rPr>
          <w:rFonts w:ascii="Calibri" w:hAnsi="Calibri" w:cs="Calibri"/>
          <w:color w:val="000000"/>
        </w:rPr>
        <w:t xml:space="preserve">svenska </w:t>
      </w:r>
      <w:r>
        <w:rPr>
          <w:rFonts w:ascii="Calibri" w:hAnsi="Calibri" w:cs="Calibri"/>
          <w:color w:val="000000"/>
        </w:rPr>
        <w:t xml:space="preserve">TA har </w:t>
      </w:r>
      <w:r>
        <w:rPr>
          <w:rFonts w:ascii="Calibri" w:hAnsi="Calibri" w:cs="Calibri"/>
          <w:color w:val="000000"/>
        </w:rPr>
        <w:t xml:space="preserve">senare </w:t>
      </w:r>
      <w:r>
        <w:rPr>
          <w:rFonts w:ascii="Calibri" w:hAnsi="Calibri" w:cs="Calibri"/>
          <w:color w:val="000000"/>
        </w:rPr>
        <w:t xml:space="preserve">skärpts </w:t>
      </w:r>
      <w:r>
        <w:rPr>
          <w:rFonts w:ascii="Calibri" w:hAnsi="Calibri" w:cs="Calibri"/>
          <w:color w:val="000000"/>
        </w:rPr>
        <w:t>med att</w:t>
      </w:r>
      <w:r>
        <w:rPr>
          <w:rFonts w:ascii="Calibri" w:hAnsi="Calibri" w:cs="Calibri"/>
          <w:color w:val="000000"/>
        </w:rPr>
        <w:t xml:space="preserve"> prenumerationsbaserade tidskrifter </w:t>
      </w:r>
      <w:r w:rsidRPr="00443A9F">
        <w:rPr>
          <w:rFonts w:ascii="Calibri" w:hAnsi="Calibri" w:cs="Calibri"/>
          <w:color w:val="000000"/>
        </w:rPr>
        <w:t>ska transformeras till</w:t>
      </w:r>
      <w:r>
        <w:rPr>
          <w:rFonts w:ascii="Calibri" w:hAnsi="Calibri" w:cs="Calibri"/>
          <w:color w:val="000000"/>
        </w:rPr>
        <w:t xml:space="preserve"> OA</w:t>
      </w:r>
      <w:r w:rsidRPr="00443A9F">
        <w:rPr>
          <w:rFonts w:ascii="Calibri" w:hAnsi="Calibri" w:cs="Calibri"/>
          <w:color w:val="000000"/>
        </w:rPr>
        <w:t>-tidskrifter</w:t>
      </w:r>
      <w:r>
        <w:rPr>
          <w:rFonts w:ascii="Calibri" w:hAnsi="Calibri" w:cs="Calibri"/>
          <w:color w:val="000000"/>
        </w:rPr>
        <w:t xml:space="preserve"> vid ett definierat år </w:t>
      </w:r>
      <w:r>
        <w:rPr>
          <w:rFonts w:ascii="Calibri" w:hAnsi="Calibri" w:cs="Calibri"/>
          <w:noProof/>
          <w:color w:val="000000"/>
        </w:rPr>
        <w:t>(Vetenskapsrådet, 2022, s. 11)</w:t>
      </w:r>
      <w:r>
        <w:rPr>
          <w:rFonts w:ascii="Calibri" w:hAnsi="Calibri" w:cs="Calibri"/>
          <w:color w:val="000000"/>
        </w:rPr>
        <w:t>.</w:t>
      </w:r>
    </w:p>
    <w:p w14:paraId="2D10F27B" w14:textId="77777777" w:rsidR="00A626A8" w:rsidRPr="008B2606" w:rsidRDefault="00A626A8" w:rsidP="00643CB6">
      <w:pPr>
        <w:rPr>
          <w:rFonts w:ascii="Calibri" w:hAnsi="Calibri" w:cs="Calibri"/>
          <w:strike/>
          <w:color w:val="000000"/>
        </w:rPr>
      </w:pPr>
      <w:r>
        <w:rPr>
          <w:rFonts w:ascii="Calibri" w:hAnsi="Calibri" w:cs="Calibri"/>
          <w:color w:val="000000"/>
        </w:rPr>
        <w:lastRenderedPageBreak/>
        <w:t xml:space="preserve">Tyvärr har det visat sig vara väldigt svårt att jämföra olika avtal då variablerna för avtalen varit skiftande, även </w:t>
      </w:r>
      <w:r>
        <w:rPr>
          <w:rFonts w:ascii="Calibri" w:hAnsi="Calibri" w:cs="Calibri"/>
          <w:noProof/>
          <w:color w:val="000000"/>
        </w:rPr>
        <w:t>Kungliga biblioteket (2019a, s. 16)</w:t>
      </w:r>
      <w:r>
        <w:rPr>
          <w:rFonts w:ascii="Calibri" w:hAnsi="Calibri" w:cs="Calibri"/>
          <w:color w:val="000000"/>
        </w:rPr>
        <w:t xml:space="preserve"> konstaterar att det är komplicerat </w:t>
      </w:r>
      <w:r>
        <w:rPr>
          <w:rFonts w:ascii="Calibri" w:hAnsi="Calibri" w:cs="Calibri"/>
          <w:color w:val="000000"/>
        </w:rPr>
        <w:t>att följa upp resultaten</w:t>
      </w:r>
      <w:r>
        <w:rPr>
          <w:rFonts w:ascii="Calibri" w:hAnsi="Calibri" w:cs="Calibri"/>
          <w:color w:val="000000"/>
        </w:rPr>
        <w:t>.</w:t>
      </w:r>
      <w:r>
        <w:rPr>
          <w:rFonts w:ascii="Calibri" w:hAnsi="Calibri" w:cs="Calibri"/>
          <w:color w:val="000000"/>
        </w:rPr>
        <w:t xml:space="preserve"> Ett land kan ha flera olika avtal som sedan omförhandlas inom ett par år. I vissa länder upphandlas avtalen av konsortier och i andra</w:t>
      </w:r>
      <w:r>
        <w:rPr>
          <w:rFonts w:ascii="Calibri" w:hAnsi="Calibri" w:cs="Calibri"/>
          <w:color w:val="000000"/>
        </w:rPr>
        <w:t xml:space="preserve"> av</w:t>
      </w:r>
      <w:r>
        <w:rPr>
          <w:rFonts w:ascii="Calibri" w:hAnsi="Calibri" w:cs="Calibri"/>
          <w:color w:val="000000"/>
        </w:rPr>
        <w:t xml:space="preserve"> enskilda universitet. En komplicerande faktor är att det råder sekretess kring många avtal</w:t>
      </w:r>
      <w:r>
        <w:rPr>
          <w:rFonts w:ascii="Calibri" w:hAnsi="Calibri" w:cs="Calibri"/>
          <w:color w:val="000000"/>
        </w:rPr>
        <w:t xml:space="preserve">, även TA. </w:t>
      </w:r>
      <w:r>
        <w:rPr>
          <w:rFonts w:asciiTheme="minorHAnsi" w:hAnsiTheme="minorHAnsi" w:cstheme="minorHAnsi"/>
        </w:rPr>
        <w:t>Några</w:t>
      </w:r>
      <w:r>
        <w:rPr>
          <w:rFonts w:asciiTheme="minorHAnsi" w:hAnsiTheme="minorHAnsi" w:cstheme="minorHAnsi"/>
        </w:rPr>
        <w:t xml:space="preserve"> artiklar har beskrivit TA som transparenta och ett steg närmare öppen publicering. Förlagen har ett egenintresse av att inte visa hur avtalen ser ut i detalj</w:t>
      </w:r>
      <w:r>
        <w:rPr>
          <w:rFonts w:asciiTheme="minorHAnsi" w:hAnsiTheme="minorHAnsi" w:cstheme="minorHAnsi"/>
        </w:rPr>
        <w:t>.</w:t>
      </w:r>
    </w:p>
    <w:p w14:paraId="7E3328C7" w14:textId="77777777" w:rsidR="00A626A8" w:rsidRDefault="00A626A8" w:rsidP="00643CB6">
      <w:pPr>
        <w:rPr>
          <w:rFonts w:ascii="Calibri" w:hAnsi="Calibri" w:cs="Calibri"/>
          <w:color w:val="000000"/>
        </w:rPr>
      </w:pPr>
    </w:p>
    <w:p w14:paraId="0BB0612B" w14:textId="77777777" w:rsidR="00A626A8" w:rsidRDefault="00A626A8" w:rsidP="008B2606">
      <w:pPr>
        <w:rPr>
          <w:rFonts w:asciiTheme="minorHAnsi" w:hAnsiTheme="minorHAnsi" w:cstheme="minorHAnsi"/>
        </w:rPr>
      </w:pPr>
      <w:r w:rsidRPr="00DE3ECA">
        <w:rPr>
          <w:rFonts w:asciiTheme="minorHAnsi" w:hAnsiTheme="minorHAnsi" w:cstheme="minorHAnsi"/>
        </w:rPr>
        <w:t xml:space="preserve">Övergången till </w:t>
      </w:r>
      <w:r>
        <w:rPr>
          <w:rFonts w:asciiTheme="minorHAnsi" w:hAnsiTheme="minorHAnsi" w:cstheme="minorHAnsi"/>
        </w:rPr>
        <w:t xml:space="preserve">TA har varit nödvändig för att få fart på OA-publiceringen. </w:t>
      </w:r>
      <w:r>
        <w:rPr>
          <w:rFonts w:asciiTheme="minorHAnsi" w:hAnsiTheme="minorHAnsi" w:cstheme="minorHAnsi"/>
        </w:rPr>
        <w:t xml:space="preserve">Det </w:t>
      </w:r>
      <w:r>
        <w:rPr>
          <w:rFonts w:asciiTheme="minorHAnsi" w:hAnsiTheme="minorHAnsi" w:cstheme="minorHAnsi"/>
        </w:rPr>
        <w:t>råder</w:t>
      </w:r>
      <w:r>
        <w:rPr>
          <w:rFonts w:asciiTheme="minorHAnsi" w:hAnsiTheme="minorHAnsi" w:cstheme="minorHAnsi"/>
        </w:rPr>
        <w:t xml:space="preserve"> farhågor </w:t>
      </w:r>
      <w:r>
        <w:rPr>
          <w:rFonts w:asciiTheme="minorHAnsi" w:hAnsiTheme="minorHAnsi" w:cstheme="minorHAnsi"/>
        </w:rPr>
        <w:t>att</w:t>
      </w:r>
      <w:r>
        <w:rPr>
          <w:rFonts w:asciiTheme="minorHAnsi" w:hAnsiTheme="minorHAnsi" w:cstheme="minorHAnsi"/>
        </w:rPr>
        <w:t xml:space="preserve"> utvecklingen kommer att stanna med bestående hybridtidskrifter och att det inte blir någon ren Guld OA</w:t>
      </w:r>
      <w:r>
        <w:rPr>
          <w:rFonts w:asciiTheme="minorHAnsi" w:hAnsiTheme="minorHAnsi" w:cstheme="minorHAnsi"/>
        </w:rPr>
        <w:t xml:space="preserve">. </w:t>
      </w:r>
      <w:r>
        <w:rPr>
          <w:rFonts w:ascii="Calibri" w:hAnsi="Calibri" w:cs="Calibri"/>
          <w:color w:val="000000"/>
        </w:rPr>
        <w:t xml:space="preserve">Under det </w:t>
      </w:r>
      <w:r>
        <w:rPr>
          <w:rFonts w:ascii="Calibri" w:hAnsi="Calibri" w:cs="Calibri"/>
          <w:color w:val="000000"/>
        </w:rPr>
        <w:t xml:space="preserve">brittiska pilotavtalet </w:t>
      </w:r>
      <w:r>
        <w:rPr>
          <w:rFonts w:ascii="Calibri" w:hAnsi="Calibri" w:cs="Calibri"/>
          <w:color w:val="000000"/>
        </w:rPr>
        <w:t>omvandlades</w:t>
      </w:r>
      <w:r>
        <w:rPr>
          <w:rFonts w:ascii="Calibri" w:hAnsi="Calibri" w:cs="Calibri"/>
          <w:color w:val="000000"/>
        </w:rPr>
        <w:t xml:space="preserve"> enbart två hybridtidskrifter till guld</w:t>
      </w:r>
      <w:r>
        <w:rPr>
          <w:rFonts w:ascii="Calibri" w:hAnsi="Calibri" w:cs="Calibri"/>
          <w:color w:val="000000"/>
        </w:rPr>
        <w:t>.</w:t>
      </w:r>
      <w:r w:rsidRPr="008B2606">
        <w:rPr>
          <w:rFonts w:asciiTheme="minorHAnsi" w:hAnsiTheme="minorHAnsi" w:cstheme="minorHAnsi"/>
        </w:rPr>
        <w:t xml:space="preserve"> </w:t>
      </w:r>
      <w:r>
        <w:rPr>
          <w:rFonts w:asciiTheme="minorHAnsi" w:hAnsiTheme="minorHAnsi" w:cstheme="minorHAnsi"/>
        </w:rPr>
        <w:t xml:space="preserve">Andra </w:t>
      </w:r>
      <w:r>
        <w:rPr>
          <w:rFonts w:asciiTheme="minorHAnsi" w:hAnsiTheme="minorHAnsi" w:cstheme="minorHAnsi"/>
        </w:rPr>
        <w:t>befarar</w:t>
      </w:r>
      <w:r>
        <w:rPr>
          <w:rFonts w:asciiTheme="minorHAnsi" w:hAnsiTheme="minorHAnsi" w:cstheme="minorHAnsi"/>
        </w:rPr>
        <w:t xml:space="preserve"> </w:t>
      </w:r>
      <w:r>
        <w:rPr>
          <w:rFonts w:asciiTheme="minorHAnsi" w:hAnsiTheme="minorHAnsi" w:cstheme="minorHAnsi"/>
        </w:rPr>
        <w:t xml:space="preserve">att </w:t>
      </w:r>
      <w:r>
        <w:rPr>
          <w:rFonts w:asciiTheme="minorHAnsi" w:hAnsiTheme="minorHAnsi" w:cstheme="minorHAnsi"/>
        </w:rPr>
        <w:t xml:space="preserve">större förlag fortsätter att konkurrera ut mindre och nystartade </w:t>
      </w:r>
      <w:r>
        <w:rPr>
          <w:rFonts w:asciiTheme="minorHAnsi" w:hAnsiTheme="minorHAnsi" w:cstheme="minorHAnsi"/>
        </w:rPr>
        <w:t xml:space="preserve">förlag, </w:t>
      </w:r>
      <w:r>
        <w:rPr>
          <w:rFonts w:asciiTheme="minorHAnsi" w:hAnsiTheme="minorHAnsi" w:cstheme="minorHAnsi"/>
        </w:rPr>
        <w:t xml:space="preserve">men det finns </w:t>
      </w:r>
      <w:r>
        <w:rPr>
          <w:rFonts w:asciiTheme="minorHAnsi" w:hAnsiTheme="minorHAnsi" w:cstheme="minorHAnsi"/>
        </w:rPr>
        <w:t>även exempel på</w:t>
      </w:r>
      <w:r>
        <w:rPr>
          <w:rFonts w:asciiTheme="minorHAnsi" w:hAnsiTheme="minorHAnsi" w:cstheme="minorHAnsi"/>
        </w:rPr>
        <w:t xml:space="preserve"> mindre förlag som lyckas hänga med i avtalen</w:t>
      </w:r>
      <w:r>
        <w:rPr>
          <w:rFonts w:asciiTheme="minorHAnsi" w:hAnsiTheme="minorHAnsi" w:cstheme="minorHAnsi"/>
        </w:rPr>
        <w:t xml:space="preserve">. Slutsatserna är att det fortfarande går långsamt men att något sker och att det tyder på en milstolpe mot OA. Ett bekymmer för biblioteken är att det finns forskare som tror att publiceringen är fri i och med avtalen och som är omedvetna om vilka summor som biblioteken betalar. Större institutioner med många publiceringar riskerar att agera draglok och utnyttjas av fripassagerare som skor sig på deras avtal. En vanlig kritik mot OA är att många tidskrifter har kvalitetsbrister </w:t>
      </w:r>
      <w:r>
        <w:rPr>
          <w:rFonts w:asciiTheme="minorHAnsi" w:hAnsiTheme="minorHAnsi" w:cstheme="minorHAnsi"/>
          <w:noProof/>
        </w:rPr>
        <w:t>(Hagve, 2020)</w:t>
      </w:r>
      <w:r>
        <w:rPr>
          <w:rFonts w:asciiTheme="minorHAnsi" w:hAnsiTheme="minorHAnsi" w:cstheme="minorHAnsi"/>
        </w:rPr>
        <w:t xml:space="preserve">. När forskare publicerar sig öppet finns en risk att tidskrifter med hög </w:t>
      </w:r>
      <w:proofErr w:type="spellStart"/>
      <w:r>
        <w:rPr>
          <w:rFonts w:asciiTheme="minorHAnsi" w:hAnsiTheme="minorHAnsi" w:cstheme="minorHAnsi"/>
        </w:rPr>
        <w:t>impact</w:t>
      </w:r>
      <w:proofErr w:type="spellEnd"/>
      <w:r>
        <w:rPr>
          <w:rFonts w:asciiTheme="minorHAnsi" w:hAnsiTheme="minorHAnsi" w:cstheme="minorHAnsi"/>
        </w:rPr>
        <w:t xml:space="preserve"> </w:t>
      </w:r>
      <w:proofErr w:type="spellStart"/>
      <w:r>
        <w:rPr>
          <w:rFonts w:asciiTheme="minorHAnsi" w:hAnsiTheme="minorHAnsi" w:cstheme="minorHAnsi"/>
        </w:rPr>
        <w:t>factor</w:t>
      </w:r>
      <w:proofErr w:type="spellEnd"/>
      <w:r>
        <w:rPr>
          <w:rFonts w:asciiTheme="minorHAnsi" w:hAnsiTheme="minorHAnsi" w:cstheme="minorHAnsi"/>
        </w:rPr>
        <w:t xml:space="preserve"> ratas om de är prenumerationsbaserade. Det finns även en risk att forskare inte når traditionella tidskrifter. Förlagen medger svårigheter med att omvandla högkvalitativa tidskrifter till OA.</w:t>
      </w:r>
    </w:p>
    <w:p w14:paraId="088C604D" w14:textId="77777777" w:rsidR="00A626A8" w:rsidRDefault="00A626A8" w:rsidP="002C0912">
      <w:pPr>
        <w:rPr>
          <w:rFonts w:asciiTheme="minorHAnsi" w:hAnsiTheme="minorHAnsi" w:cstheme="minorHAnsi"/>
        </w:rPr>
      </w:pPr>
    </w:p>
    <w:p w14:paraId="0C572DDC" w14:textId="77777777" w:rsidR="00A626A8" w:rsidRDefault="00A626A8" w:rsidP="002C0912">
      <w:pPr>
        <w:rPr>
          <w:rFonts w:asciiTheme="minorHAnsi" w:hAnsiTheme="minorHAnsi" w:cstheme="minorHAnsi"/>
        </w:rPr>
      </w:pPr>
      <w:r>
        <w:rPr>
          <w:rFonts w:asciiTheme="minorHAnsi" w:hAnsiTheme="minorHAnsi" w:cstheme="minorHAnsi"/>
        </w:rPr>
        <w:t xml:space="preserve">Bland positiva effekter måste det nämnas att fler artiklar har publicerats fritt tillgängliga och att publiceringen även har ökat inom ämnesområden som traditionellt inte publicerar så mycket fritt. Forskare har publicerat öppet men som annars inte skulle ha gjort detta. Följden av fler OA-publiceringar innebär att fler kan ta del av fria forskningsartiklar. Andra fördelar är att avtalen har förenklat och gjort administrationen billigare för både förlagen och universiteten. Forskare har funnit publiceringsprocessen enklare och har tack vare att de publicerar under OA kunnat behålla upphovsrätten. </w:t>
      </w:r>
      <w:r>
        <w:rPr>
          <w:rFonts w:asciiTheme="minorHAnsi" w:hAnsiTheme="minorHAnsi" w:cstheme="minorHAnsi"/>
        </w:rPr>
        <w:t>Förhoppningen är att den här typen av avtal ska vara en övergång</w:t>
      </w:r>
      <w:r>
        <w:rPr>
          <w:rFonts w:asciiTheme="minorHAnsi" w:hAnsiTheme="minorHAnsi" w:cstheme="minorHAnsi"/>
        </w:rPr>
        <w:t>,</w:t>
      </w:r>
      <w:r>
        <w:rPr>
          <w:rFonts w:asciiTheme="minorHAnsi" w:hAnsiTheme="minorHAnsi" w:cstheme="minorHAnsi"/>
        </w:rPr>
        <w:t xml:space="preserve"> precis som begreppet transformativt antyder och att kostnaderna minskar när biblioteken inte behöver betala för tillgången till artiklarna.</w:t>
      </w:r>
    </w:p>
    <w:p w14:paraId="07871A21" w14:textId="77777777" w:rsidR="00A626A8" w:rsidRDefault="00A626A8" w:rsidP="002C0912">
      <w:pPr>
        <w:rPr>
          <w:rFonts w:asciiTheme="minorHAnsi" w:hAnsiTheme="minorHAnsi" w:cstheme="minorHAnsi"/>
        </w:rPr>
      </w:pPr>
    </w:p>
    <w:p w14:paraId="65022938" w14:textId="77777777" w:rsidR="00A626A8" w:rsidRPr="002C0912" w:rsidRDefault="00A626A8" w:rsidP="008B2606">
      <w:pPr>
        <w:pStyle w:val="Rubrik3"/>
      </w:pPr>
      <w:r w:rsidRPr="008B2606">
        <w:t>Reflektion över värde för relevant verksamhet</w:t>
      </w:r>
    </w:p>
    <w:p w14:paraId="1EF44341" w14:textId="77777777" w:rsidR="00A626A8" w:rsidRDefault="00A626A8" w:rsidP="00C55C92">
      <w:pPr>
        <w:rPr>
          <w:rFonts w:ascii="Calibri" w:hAnsi="Calibri" w:cs="Calibri"/>
          <w:color w:val="000000"/>
        </w:rPr>
      </w:pPr>
      <w:r>
        <w:rPr>
          <w:rFonts w:asciiTheme="minorHAnsi" w:hAnsiTheme="minorHAnsi" w:cstheme="minorHAnsi"/>
        </w:rPr>
        <w:t xml:space="preserve">Den här studien är intressant att läsa för att få en insyn i hur den akademiska publiceringen har utvecklats och hur den fungerar med TA som nu är en pågående process i Sverige. Genom att öka medvetenheten för publicering och OA kan fler forskare vilja publicera sig fritt. </w:t>
      </w:r>
    </w:p>
    <w:p w14:paraId="1BC4DC66" w14:textId="77777777" w:rsidR="00A626A8" w:rsidRDefault="00A626A8" w:rsidP="002C0912">
      <w:pPr>
        <w:rPr>
          <w:rFonts w:asciiTheme="minorHAnsi" w:hAnsiTheme="minorHAnsi" w:cstheme="minorHAnsi"/>
        </w:rPr>
      </w:pPr>
    </w:p>
    <w:p w14:paraId="6A47E8FA" w14:textId="77777777" w:rsidR="00A626A8" w:rsidRDefault="00A626A8" w:rsidP="00EA4407">
      <w:pPr>
        <w:pStyle w:val="Rubrik3"/>
      </w:pPr>
      <w:r>
        <w:t>Reflektion över hållbar utveckling</w:t>
      </w:r>
    </w:p>
    <w:p w14:paraId="63C1BA4D" w14:textId="19B511A9" w:rsidR="00A626A8" w:rsidRDefault="00A626A8" w:rsidP="00C1780B">
      <w:pPr>
        <w:rPr>
          <w:rFonts w:ascii="Calibri" w:hAnsi="Calibri" w:cs="Calibri"/>
          <w:color w:val="000000"/>
        </w:rPr>
      </w:pPr>
      <w:r>
        <w:rPr>
          <w:rFonts w:asciiTheme="minorHAnsi" w:hAnsiTheme="minorHAnsi" w:cstheme="minorHAnsi"/>
        </w:rPr>
        <w:t xml:space="preserve">Den traditionella modellen av akademisk publicering med kommersiella förlag är inte ekonomiskt hållbar med ständigt ökande kostnader för universiteten som får betala både för publicering och prenumerationer. En konsekvens av de höga kostnaderna är att biblioteken inte har råd med lika många tidskriftsprenumerationer som de skulle vilja ha, vilket i sin tur leder till brist på tillgång till information </w:t>
      </w:r>
      <w:r>
        <w:rPr>
          <w:rFonts w:asciiTheme="minorHAnsi" w:hAnsiTheme="minorHAnsi" w:cstheme="minorHAnsi"/>
          <w:noProof/>
        </w:rPr>
        <w:t>(Francke, 2015)</w:t>
      </w:r>
      <w:r>
        <w:rPr>
          <w:rFonts w:asciiTheme="minorHAnsi" w:hAnsiTheme="minorHAnsi" w:cstheme="minorHAnsi"/>
        </w:rPr>
        <w:t xml:space="preserve">. </w:t>
      </w:r>
      <w:r>
        <w:rPr>
          <w:rFonts w:ascii="Calibri" w:hAnsi="Calibri" w:cs="Calibri"/>
          <w:color w:val="000000"/>
        </w:rPr>
        <w:t xml:space="preserve">Som </w:t>
      </w:r>
      <w:r>
        <w:rPr>
          <w:rFonts w:ascii="Calibri" w:hAnsi="Calibri" w:cs="Calibri"/>
          <w:noProof/>
          <w:color w:val="000000"/>
        </w:rPr>
        <w:t>Finch et al. (2013)</w:t>
      </w:r>
      <w:r>
        <w:rPr>
          <w:rFonts w:ascii="Calibri" w:hAnsi="Calibri" w:cs="Calibri"/>
          <w:color w:val="000000"/>
        </w:rPr>
        <w:t xml:space="preserve"> har poängterat har inget enskilt lärosäte ekonomisk möjlighet att prenumerera på alla tusentals </w:t>
      </w:r>
      <w:r>
        <w:rPr>
          <w:rFonts w:ascii="Calibri" w:hAnsi="Calibri" w:cs="Calibri"/>
          <w:color w:val="000000"/>
        </w:rPr>
        <w:lastRenderedPageBreak/>
        <w:t>vetenskapliga tidskrifter och hos allmänheten är åtkomsten till vetenskapliga publikationer minimal.</w:t>
      </w:r>
    </w:p>
    <w:p w14:paraId="1A150300" w14:textId="77777777" w:rsidR="00A626A8" w:rsidRDefault="00A626A8" w:rsidP="00C1780B">
      <w:pPr>
        <w:rPr>
          <w:rFonts w:asciiTheme="minorHAnsi" w:hAnsiTheme="minorHAnsi" w:cstheme="minorHAnsi"/>
        </w:rPr>
      </w:pPr>
      <w:r>
        <w:rPr>
          <w:rFonts w:asciiTheme="minorHAnsi" w:hAnsiTheme="minorHAnsi" w:cstheme="minorHAnsi"/>
        </w:rPr>
        <w:t>Övergången till TA är en lösning på det här problemet som leder till social och ekonomisk hållbarhet. Ur ett socialt hållbart perspektiv leder OA till l</w:t>
      </w:r>
      <w:r w:rsidRPr="003F45FE">
        <w:rPr>
          <w:rFonts w:asciiTheme="minorHAnsi" w:hAnsiTheme="minorHAnsi" w:cstheme="minorHAnsi"/>
        </w:rPr>
        <w:t>ikvärdig tillgång till information</w:t>
      </w:r>
      <w:r>
        <w:rPr>
          <w:rFonts w:asciiTheme="minorHAnsi" w:hAnsiTheme="minorHAnsi" w:cstheme="minorHAnsi"/>
        </w:rPr>
        <w:t xml:space="preserve"> då alla kommer kunna ta del av de publicerade forskningsresultaten. Det finns starka politiska och ideologiska intressen bakom uppfattningen att forskningsresultaten ska publiceras öppet. Allmänheten och företag som vanligtvis inte har tillgång till artiklar skulle få tillgång vilket ses som viktigt ur en nationell politisk synvinkel</w:t>
      </w:r>
      <w:r>
        <w:rPr>
          <w:rFonts w:ascii="Calibri" w:hAnsi="Calibri" w:cs="Calibri"/>
          <w:color w:val="000000"/>
        </w:rPr>
        <w:t xml:space="preserve"> </w:t>
      </w:r>
      <w:r>
        <w:rPr>
          <w:rFonts w:ascii="Calibri" w:hAnsi="Calibri" w:cs="Calibri"/>
          <w:noProof/>
          <w:color w:val="000000"/>
        </w:rPr>
        <w:t>(Francke, 2013, s. 24)</w:t>
      </w:r>
      <w:r>
        <w:rPr>
          <w:rFonts w:asciiTheme="minorHAnsi" w:hAnsiTheme="minorHAnsi" w:cstheme="minorHAnsi"/>
        </w:rPr>
        <w:t xml:space="preserve">.   </w:t>
      </w:r>
    </w:p>
    <w:p w14:paraId="3320E779" w14:textId="77777777" w:rsidR="00A626A8" w:rsidRDefault="00A626A8" w:rsidP="002C0912">
      <w:pPr>
        <w:rPr>
          <w:rFonts w:asciiTheme="minorHAnsi" w:hAnsiTheme="minorHAnsi" w:cstheme="minorHAnsi"/>
        </w:rPr>
      </w:pPr>
      <w:r>
        <w:rPr>
          <w:rFonts w:asciiTheme="minorHAnsi" w:hAnsiTheme="minorHAnsi" w:cstheme="minorHAnsi"/>
        </w:rPr>
        <w:t xml:space="preserve">Ur ett ekonomiskt hållbart perspektiv så är en av grundidéerna bakom övergången till </w:t>
      </w:r>
      <w:r>
        <w:rPr>
          <w:rFonts w:ascii="Calibri" w:hAnsi="Calibri" w:cs="Calibri"/>
          <w:color w:val="000000"/>
        </w:rPr>
        <w:t xml:space="preserve">TA att minska kostnaderna för universiteten och ändra hur skattemedlen används. En hållbar affärsmodell för publicering förändrar hur biblioteken kan spendera sina pengar och öppnar även upp för att forskare i fattigare länder ska kunna publicera sig </w:t>
      </w:r>
      <w:r>
        <w:rPr>
          <w:rFonts w:ascii="Calibri" w:hAnsi="Calibri" w:cs="Calibri"/>
          <w:noProof/>
          <w:color w:val="000000"/>
        </w:rPr>
        <w:t>(Kungliga biblioteket, 2019b, s. 15)</w:t>
      </w:r>
      <w:r>
        <w:rPr>
          <w:rFonts w:ascii="Calibri" w:hAnsi="Calibri" w:cs="Calibri"/>
          <w:color w:val="000000"/>
        </w:rPr>
        <w:t>. Eventuella utmaningar kan vara att övergången till ren OA inte går så snabbt eller att den kan komma få någon ny vändning. Förlagen är slipade på att komma på nya affärsmodeller och är fortfarande intresserade av att plocka ut höga vinster.</w:t>
      </w:r>
    </w:p>
    <w:p w14:paraId="105CE9F2" w14:textId="77777777" w:rsidR="00A626A8" w:rsidRDefault="00A626A8" w:rsidP="003F45FE">
      <w:pPr>
        <w:rPr>
          <w:rFonts w:asciiTheme="minorHAnsi" w:hAnsiTheme="minorHAnsi" w:cstheme="minorHAnsi"/>
        </w:rPr>
      </w:pPr>
    </w:p>
    <w:p w14:paraId="5787AC59" w14:textId="77777777" w:rsidR="00A626A8" w:rsidRPr="00AF788E" w:rsidRDefault="00A626A8" w:rsidP="00643CB6">
      <w:pPr>
        <w:pStyle w:val="Rubrik1"/>
        <w:rPr>
          <w:lang w:val="en-US"/>
        </w:rPr>
      </w:pPr>
      <w:proofErr w:type="spellStart"/>
      <w:r w:rsidRPr="00AF788E">
        <w:rPr>
          <w:lang w:val="en-US"/>
        </w:rPr>
        <w:t>Referenser</w:t>
      </w:r>
      <w:proofErr w:type="spellEnd"/>
    </w:p>
    <w:p w14:paraId="0AEBBE75" w14:textId="77777777" w:rsidR="00A626A8" w:rsidRPr="00AF788E" w:rsidRDefault="00A626A8">
      <w:pPr>
        <w:rPr>
          <w:lang w:val="en-US"/>
        </w:rPr>
      </w:pPr>
    </w:p>
    <w:p w14:paraId="10F6461B" w14:textId="77777777" w:rsidR="00A626A8" w:rsidRPr="00A626A8" w:rsidRDefault="00A626A8" w:rsidP="00563A99">
      <w:pPr>
        <w:pStyle w:val="EndNoteBibliography"/>
        <w:ind w:left="720" w:hanging="720"/>
        <w:rPr>
          <w:noProof/>
          <w:lang w:val="en-US"/>
        </w:rPr>
      </w:pPr>
      <w:r w:rsidRPr="00A626A8">
        <w:rPr>
          <w:noProof/>
          <w:lang w:val="en-US"/>
        </w:rPr>
        <w:t xml:space="preserve">Anders, A., Chesler, A., Webster, K., Rotjan, S., &amp; Balduff, D. (2021). "Read and Publish" - What It Takes to Implement a Seamless Model. </w:t>
      </w:r>
      <w:r w:rsidRPr="00A626A8">
        <w:rPr>
          <w:i/>
          <w:noProof/>
          <w:lang w:val="en-US"/>
        </w:rPr>
        <w:t>The Serials Librarian</w:t>
      </w:r>
      <w:r w:rsidRPr="00A626A8">
        <w:rPr>
          <w:noProof/>
          <w:lang w:val="en-US"/>
        </w:rPr>
        <w:t>,</w:t>
      </w:r>
      <w:r w:rsidRPr="00A626A8">
        <w:rPr>
          <w:i/>
          <w:noProof/>
          <w:lang w:val="en-US"/>
        </w:rPr>
        <w:t xml:space="preserve"> 80</w:t>
      </w:r>
      <w:r w:rsidRPr="00A626A8">
        <w:rPr>
          <w:noProof/>
          <w:lang w:val="en-US"/>
        </w:rPr>
        <w:t xml:space="preserve">(1-4), 128-132. https://doi.org/10.1080/0361526X.2021.1865421 </w:t>
      </w:r>
    </w:p>
    <w:p w14:paraId="52EC24BE" w14:textId="77777777" w:rsidR="00A626A8" w:rsidRPr="00A626A8" w:rsidRDefault="00A626A8" w:rsidP="00563A99">
      <w:pPr>
        <w:pStyle w:val="EndNoteBibliography"/>
        <w:ind w:left="720" w:hanging="720"/>
        <w:rPr>
          <w:noProof/>
          <w:lang w:val="en-US"/>
        </w:rPr>
      </w:pPr>
      <w:r w:rsidRPr="00A626A8">
        <w:rPr>
          <w:noProof/>
          <w:lang w:val="en-US"/>
        </w:rPr>
        <w:t xml:space="preserve">Anderson, G., Heyman, J., &amp; Simmons, M. (2022). How transformative agreements are actually transforming the subscription system: a society publisher’s perspective. </w:t>
      </w:r>
      <w:r w:rsidRPr="00A626A8">
        <w:rPr>
          <w:i/>
          <w:noProof/>
          <w:lang w:val="en-US"/>
        </w:rPr>
        <w:t>Insights the UKSG journal</w:t>
      </w:r>
      <w:r w:rsidRPr="00A626A8">
        <w:rPr>
          <w:noProof/>
          <w:lang w:val="en-US"/>
        </w:rPr>
        <w:t>,</w:t>
      </w:r>
      <w:r w:rsidRPr="00A626A8">
        <w:rPr>
          <w:i/>
          <w:noProof/>
          <w:lang w:val="en-US"/>
        </w:rPr>
        <w:t xml:space="preserve"> 35</w:t>
      </w:r>
      <w:r w:rsidRPr="00A626A8">
        <w:rPr>
          <w:noProof/>
          <w:lang w:val="en-US"/>
        </w:rPr>
        <w:t xml:space="preserve">. https://doi.org/10.1629/uksg.579 </w:t>
      </w:r>
    </w:p>
    <w:p w14:paraId="484A69EF" w14:textId="77777777" w:rsidR="00A626A8" w:rsidRPr="00A626A8" w:rsidRDefault="00A626A8" w:rsidP="00563A99">
      <w:pPr>
        <w:pStyle w:val="EndNoteBibliography"/>
        <w:ind w:left="720" w:hanging="720"/>
        <w:rPr>
          <w:noProof/>
          <w:lang w:val="en-US"/>
        </w:rPr>
      </w:pPr>
      <w:r w:rsidRPr="00A626A8">
        <w:rPr>
          <w:noProof/>
          <w:lang w:val="en-US"/>
        </w:rPr>
        <w:t xml:space="preserve">Bansode, S. Y., &amp; Pujar, S. (2022). Open access and transformative agreements: A study. </w:t>
      </w:r>
      <w:r w:rsidRPr="00A626A8">
        <w:rPr>
          <w:i/>
          <w:noProof/>
          <w:lang w:val="en-US"/>
        </w:rPr>
        <w:t>Annals of Library and Information Studies</w:t>
      </w:r>
      <w:r w:rsidRPr="00A626A8">
        <w:rPr>
          <w:noProof/>
          <w:lang w:val="en-US"/>
        </w:rPr>
        <w:t>,</w:t>
      </w:r>
      <w:r w:rsidRPr="00A626A8">
        <w:rPr>
          <w:i/>
          <w:noProof/>
          <w:lang w:val="en-US"/>
        </w:rPr>
        <w:t xml:space="preserve"> 69</w:t>
      </w:r>
      <w:r w:rsidRPr="00A626A8">
        <w:rPr>
          <w:noProof/>
          <w:lang w:val="en-US"/>
        </w:rPr>
        <w:t xml:space="preserve">(1), 59-65. https://doi.org/10.56042/alis.v69i1.57094 </w:t>
      </w:r>
    </w:p>
    <w:p w14:paraId="69CED8A7" w14:textId="77777777" w:rsidR="00A626A8" w:rsidRPr="00A626A8" w:rsidRDefault="00A626A8" w:rsidP="00563A99">
      <w:pPr>
        <w:pStyle w:val="EndNoteBibliography"/>
        <w:ind w:left="720" w:hanging="720"/>
        <w:rPr>
          <w:noProof/>
          <w:lang w:val="en-US"/>
        </w:rPr>
      </w:pPr>
      <w:r w:rsidRPr="00563A99">
        <w:rPr>
          <w:noProof/>
        </w:rPr>
        <w:t xml:space="preserve">Berggren, C. (2016). </w:t>
      </w:r>
      <w:r w:rsidRPr="00563A99">
        <w:rPr>
          <w:i/>
          <w:noProof/>
        </w:rPr>
        <w:t>Vetenskaplig publicering: historik, praktik och etik</w:t>
      </w:r>
      <w:r w:rsidRPr="00563A99">
        <w:rPr>
          <w:noProof/>
        </w:rPr>
        <w:t xml:space="preserve">. </w:t>
      </w:r>
      <w:r w:rsidRPr="00A626A8">
        <w:rPr>
          <w:noProof/>
          <w:lang w:val="en-US"/>
        </w:rPr>
        <w:t xml:space="preserve">Studentlitteratur. </w:t>
      </w:r>
    </w:p>
    <w:p w14:paraId="3F5A6EE9" w14:textId="77777777" w:rsidR="00A626A8" w:rsidRPr="00A626A8" w:rsidRDefault="00A626A8" w:rsidP="00563A99">
      <w:pPr>
        <w:pStyle w:val="EndNoteBibliography"/>
        <w:ind w:left="720" w:hanging="720"/>
        <w:rPr>
          <w:noProof/>
          <w:lang w:val="en-US"/>
        </w:rPr>
      </w:pPr>
      <w:r w:rsidRPr="00A626A8">
        <w:rPr>
          <w:noProof/>
          <w:lang w:val="en-US"/>
        </w:rPr>
        <w:t xml:space="preserve">Björk, B. C., Laakso, M., Welling, P., &amp; Paetau, P. (2014). Anatomy of green open access. </w:t>
      </w:r>
      <w:r w:rsidRPr="00A626A8">
        <w:rPr>
          <w:i/>
          <w:noProof/>
          <w:lang w:val="en-US"/>
        </w:rPr>
        <w:t>Journal of the Association for Information Science and Technology</w:t>
      </w:r>
      <w:r w:rsidRPr="00A626A8">
        <w:rPr>
          <w:noProof/>
          <w:lang w:val="en-US"/>
        </w:rPr>
        <w:t>,</w:t>
      </w:r>
      <w:r w:rsidRPr="00A626A8">
        <w:rPr>
          <w:i/>
          <w:noProof/>
          <w:lang w:val="en-US"/>
        </w:rPr>
        <w:t xml:space="preserve"> 65</w:t>
      </w:r>
      <w:r w:rsidRPr="00A626A8">
        <w:rPr>
          <w:noProof/>
          <w:lang w:val="en-US"/>
        </w:rPr>
        <w:t xml:space="preserve">(2), 237-250. https://doi.org/10.1002/asi.22963 </w:t>
      </w:r>
    </w:p>
    <w:p w14:paraId="0B5DBE3C" w14:textId="77777777" w:rsidR="00A626A8" w:rsidRPr="00A626A8" w:rsidRDefault="00A626A8" w:rsidP="00563A99">
      <w:pPr>
        <w:pStyle w:val="EndNoteBibliography"/>
        <w:ind w:left="720" w:hanging="720"/>
        <w:rPr>
          <w:noProof/>
          <w:lang w:val="en-US"/>
        </w:rPr>
      </w:pPr>
      <w:r w:rsidRPr="00A626A8">
        <w:rPr>
          <w:noProof/>
          <w:lang w:val="en-US"/>
        </w:rPr>
        <w:t xml:space="preserve">Borrego, Á., Anglada, L., &amp; Abadal, E. (2021). Transformative agreements: Do they pave the way to open access? </w:t>
      </w:r>
      <w:r w:rsidRPr="00A626A8">
        <w:rPr>
          <w:i/>
          <w:noProof/>
          <w:lang w:val="en-US"/>
        </w:rPr>
        <w:t>Learned Publishing</w:t>
      </w:r>
      <w:r w:rsidRPr="00A626A8">
        <w:rPr>
          <w:noProof/>
          <w:lang w:val="en-US"/>
        </w:rPr>
        <w:t>,</w:t>
      </w:r>
      <w:r w:rsidRPr="00A626A8">
        <w:rPr>
          <w:i/>
          <w:noProof/>
          <w:lang w:val="en-US"/>
        </w:rPr>
        <w:t xml:space="preserve"> 34</w:t>
      </w:r>
      <w:r w:rsidRPr="00A626A8">
        <w:rPr>
          <w:noProof/>
          <w:lang w:val="en-US"/>
        </w:rPr>
        <w:t xml:space="preserve">(2), 216-232. https://doi.org/10.1002/leap.1347 </w:t>
      </w:r>
    </w:p>
    <w:p w14:paraId="2657B241" w14:textId="77777777" w:rsidR="00A626A8" w:rsidRPr="00A626A8" w:rsidRDefault="00A626A8" w:rsidP="00563A99">
      <w:pPr>
        <w:pStyle w:val="EndNoteBibliography"/>
        <w:ind w:left="720" w:hanging="720"/>
        <w:rPr>
          <w:noProof/>
          <w:lang w:val="en-US"/>
        </w:rPr>
      </w:pPr>
      <w:r w:rsidRPr="00A626A8">
        <w:rPr>
          <w:noProof/>
          <w:lang w:val="en-US"/>
        </w:rPr>
        <w:t xml:space="preserve">Budapest Open Access Initiative. (2002, 14 Feb). </w:t>
      </w:r>
      <w:r w:rsidRPr="00A626A8">
        <w:rPr>
          <w:i/>
          <w:noProof/>
          <w:lang w:val="en-US"/>
        </w:rPr>
        <w:t>Budapest Open Access Initiative</w:t>
      </w:r>
      <w:r w:rsidRPr="00A626A8">
        <w:rPr>
          <w:noProof/>
          <w:lang w:val="en-US"/>
        </w:rPr>
        <w:t>. https://www.budapestopenaccessinitiative.org/read.</w:t>
      </w:r>
    </w:p>
    <w:p w14:paraId="0D5E32C5" w14:textId="77777777" w:rsidR="00A626A8" w:rsidRPr="00A626A8" w:rsidRDefault="00A626A8" w:rsidP="00563A99">
      <w:pPr>
        <w:pStyle w:val="EndNoteBibliography"/>
        <w:ind w:left="720" w:hanging="720"/>
        <w:rPr>
          <w:noProof/>
          <w:lang w:val="en-US"/>
        </w:rPr>
      </w:pPr>
      <w:r w:rsidRPr="00A626A8">
        <w:rPr>
          <w:noProof/>
          <w:lang w:val="en-US"/>
        </w:rPr>
        <w:t xml:space="preserve">Cooper, D., &amp; Rieger, O. Y. (2021). What’s the Big Deal? How Researchers Are Navigating Changes to Journal Access. </w:t>
      </w:r>
      <w:r w:rsidRPr="00A626A8">
        <w:rPr>
          <w:i/>
          <w:noProof/>
          <w:lang w:val="en-US"/>
        </w:rPr>
        <w:t>Ithaka S+R</w:t>
      </w:r>
      <w:r w:rsidRPr="00A626A8">
        <w:rPr>
          <w:noProof/>
          <w:lang w:val="en-US"/>
        </w:rPr>
        <w:t xml:space="preserve">. https://doi.org/https://doi.org/10.18665/sr.315570 </w:t>
      </w:r>
    </w:p>
    <w:p w14:paraId="71CE6A28" w14:textId="77777777" w:rsidR="00A626A8" w:rsidRPr="00A626A8" w:rsidRDefault="00A626A8" w:rsidP="00563A99">
      <w:pPr>
        <w:pStyle w:val="EndNoteBibliography"/>
        <w:ind w:left="720" w:hanging="720"/>
        <w:rPr>
          <w:noProof/>
          <w:lang w:val="en-US"/>
        </w:rPr>
      </w:pPr>
      <w:r w:rsidRPr="00A626A8">
        <w:rPr>
          <w:noProof/>
          <w:lang w:val="en-US"/>
        </w:rPr>
        <w:t xml:space="preserve">Farley, A., Langham-Putrow, A., Shook, E., Sterman, L. B., &amp; Wacha, M. (2021). Transformative agreements: Six myths, busted: Lessons learned. </w:t>
      </w:r>
      <w:r w:rsidRPr="00A626A8">
        <w:rPr>
          <w:i/>
          <w:noProof/>
          <w:lang w:val="en-US"/>
        </w:rPr>
        <w:t>College &amp; Research Libraries News</w:t>
      </w:r>
      <w:r w:rsidRPr="00A626A8">
        <w:rPr>
          <w:noProof/>
          <w:lang w:val="en-US"/>
        </w:rPr>
        <w:t>,</w:t>
      </w:r>
      <w:r w:rsidRPr="00A626A8">
        <w:rPr>
          <w:i/>
          <w:noProof/>
          <w:lang w:val="en-US"/>
        </w:rPr>
        <w:t xml:space="preserve"> 82</w:t>
      </w:r>
      <w:r w:rsidRPr="00A626A8">
        <w:rPr>
          <w:noProof/>
          <w:lang w:val="en-US"/>
        </w:rPr>
        <w:t xml:space="preserve">(7), 298-301. https://doi.org/10.5860/crln.82.7.298 </w:t>
      </w:r>
    </w:p>
    <w:p w14:paraId="16CB8263" w14:textId="77777777" w:rsidR="00A626A8" w:rsidRPr="00A626A8" w:rsidRDefault="00A626A8" w:rsidP="00563A99">
      <w:pPr>
        <w:pStyle w:val="EndNoteBibliography"/>
        <w:ind w:left="720" w:hanging="720"/>
        <w:rPr>
          <w:noProof/>
          <w:lang w:val="en-US"/>
        </w:rPr>
      </w:pPr>
      <w:r w:rsidRPr="00A626A8">
        <w:rPr>
          <w:noProof/>
          <w:lang w:val="en-US"/>
        </w:rPr>
        <w:t xml:space="preserve">Finch, J., Bell, S., Bellingan, L., Campbell, R., Donnelly, P., Gardner, R., Hall, M., Hall, S., Kiley, R., van der Stelt, W., Sweeney, D., Sykes, P., Tickell, A., Wissenburg, A., Egginton, R., Jubb, M., &amp; Working Group on Expanding Access to Published Research, F. (2013). Accessibility, sustainability, excellence: how to expand access to research publications. Executive summary. </w:t>
      </w:r>
      <w:r w:rsidRPr="00A626A8">
        <w:rPr>
          <w:i/>
          <w:noProof/>
          <w:lang w:val="en-US"/>
        </w:rPr>
        <w:t>Int Microbiol</w:t>
      </w:r>
      <w:r w:rsidRPr="00A626A8">
        <w:rPr>
          <w:noProof/>
          <w:lang w:val="en-US"/>
        </w:rPr>
        <w:t>,</w:t>
      </w:r>
      <w:r w:rsidRPr="00A626A8">
        <w:rPr>
          <w:i/>
          <w:noProof/>
          <w:lang w:val="en-US"/>
        </w:rPr>
        <w:t xml:space="preserve"> 16</w:t>
      </w:r>
      <w:r w:rsidRPr="00A626A8">
        <w:rPr>
          <w:noProof/>
          <w:lang w:val="en-US"/>
        </w:rPr>
        <w:t xml:space="preserve">(2), 125-132. https://doi.org/10.2436/20.1501.01.187 </w:t>
      </w:r>
    </w:p>
    <w:p w14:paraId="1855BB34" w14:textId="77777777" w:rsidR="00A626A8" w:rsidRPr="00563A99" w:rsidRDefault="00A626A8" w:rsidP="00563A99">
      <w:pPr>
        <w:pStyle w:val="EndNoteBibliography"/>
        <w:ind w:left="720" w:hanging="720"/>
        <w:rPr>
          <w:noProof/>
        </w:rPr>
      </w:pPr>
      <w:r w:rsidRPr="00A626A8">
        <w:rPr>
          <w:noProof/>
          <w:lang w:val="en-US"/>
        </w:rPr>
        <w:lastRenderedPageBreak/>
        <w:t xml:space="preserve">Francke, H. (20 oktober 2015). </w:t>
      </w:r>
      <w:r w:rsidRPr="00563A99">
        <w:rPr>
          <w:i/>
          <w:noProof/>
        </w:rPr>
        <w:t>Hållbara perspektiv på vetenskaplig publicering : Del 1</w:t>
      </w:r>
      <w:r w:rsidRPr="00563A99">
        <w:rPr>
          <w:noProof/>
        </w:rPr>
        <w:t xml:space="preserve"> [PowerPoint-presentation]. Högskolan i Borås. </w:t>
      </w:r>
      <w:r w:rsidRPr="00A626A8">
        <w:rPr>
          <w:noProof/>
        </w:rPr>
        <w:t>https://hb.instructure.com/courses/4239/files/223961?module_item_id=52546</w:t>
      </w:r>
    </w:p>
    <w:p w14:paraId="2BFB65F3" w14:textId="77777777" w:rsidR="00A626A8" w:rsidRPr="00563A99" w:rsidRDefault="00A626A8" w:rsidP="00563A99">
      <w:pPr>
        <w:pStyle w:val="EndNoteBibliography"/>
        <w:ind w:left="720" w:hanging="720"/>
        <w:rPr>
          <w:noProof/>
        </w:rPr>
      </w:pPr>
      <w:r w:rsidRPr="00563A99">
        <w:rPr>
          <w:noProof/>
        </w:rPr>
        <w:t xml:space="preserve">Francke, H. (2013). </w:t>
      </w:r>
      <w:r w:rsidRPr="00563A99">
        <w:rPr>
          <w:i/>
          <w:noProof/>
        </w:rPr>
        <w:t>Publicera! : svenska forskningsbiblioteks arbete med publiceringsfrågor</w:t>
      </w:r>
      <w:r w:rsidRPr="00563A99">
        <w:rPr>
          <w:noProof/>
        </w:rPr>
        <w:t xml:space="preserve">. Svensk biblioteksförening. </w:t>
      </w:r>
      <w:r w:rsidRPr="00A626A8">
        <w:rPr>
          <w:noProof/>
        </w:rPr>
        <w:t>http://www.biblioteksforeningen.org/material/publicera</w:t>
      </w:r>
      <w:r w:rsidRPr="00563A99">
        <w:rPr>
          <w:noProof/>
        </w:rPr>
        <w:t xml:space="preserve"> </w:t>
      </w:r>
    </w:p>
    <w:p w14:paraId="6682ED9F" w14:textId="77777777" w:rsidR="00A626A8" w:rsidRPr="00563A99" w:rsidRDefault="00A626A8" w:rsidP="00563A99">
      <w:pPr>
        <w:pStyle w:val="EndNoteBibliography"/>
        <w:ind w:left="720" w:hanging="720"/>
        <w:rPr>
          <w:noProof/>
        </w:rPr>
      </w:pPr>
      <w:r w:rsidRPr="00563A99">
        <w:rPr>
          <w:noProof/>
        </w:rPr>
        <w:t xml:space="preserve">Hagve, M. (2020). </w:t>
      </w:r>
      <w:r w:rsidRPr="00A626A8">
        <w:rPr>
          <w:noProof/>
          <w:lang w:val="en-US"/>
        </w:rPr>
        <w:t xml:space="preserve">The money behind academic publishing. </w:t>
      </w:r>
      <w:r w:rsidRPr="00563A99">
        <w:rPr>
          <w:i/>
          <w:noProof/>
        </w:rPr>
        <w:t>Tidsskrift for Den norske legeforening</w:t>
      </w:r>
      <w:r w:rsidRPr="00563A99">
        <w:rPr>
          <w:noProof/>
        </w:rPr>
        <w:t xml:space="preserve">. </w:t>
      </w:r>
      <w:r w:rsidRPr="00A626A8">
        <w:rPr>
          <w:noProof/>
        </w:rPr>
        <w:t>https://doi.org/10.4045/tidsskr.20.0118</w:t>
      </w:r>
      <w:r w:rsidRPr="00563A99">
        <w:rPr>
          <w:noProof/>
        </w:rPr>
        <w:t xml:space="preserve"> </w:t>
      </w:r>
    </w:p>
    <w:p w14:paraId="47E2DE81" w14:textId="77777777" w:rsidR="00A626A8" w:rsidRPr="00A626A8" w:rsidRDefault="00A626A8" w:rsidP="00563A99">
      <w:pPr>
        <w:pStyle w:val="EndNoteBibliography"/>
        <w:ind w:left="720" w:hanging="720"/>
        <w:rPr>
          <w:noProof/>
          <w:lang w:val="en-US"/>
        </w:rPr>
      </w:pPr>
      <w:r w:rsidRPr="00A626A8">
        <w:rPr>
          <w:noProof/>
          <w:lang w:val="en-US"/>
        </w:rPr>
        <w:t xml:space="preserve">Hall, M. (2012). Green or gold? Open access after Finch. </w:t>
      </w:r>
      <w:r w:rsidRPr="00A626A8">
        <w:rPr>
          <w:i/>
          <w:noProof/>
          <w:lang w:val="en-US"/>
        </w:rPr>
        <w:t>Insights: the UKSG Journal</w:t>
      </w:r>
      <w:r w:rsidRPr="00A626A8">
        <w:rPr>
          <w:noProof/>
          <w:lang w:val="en-US"/>
        </w:rPr>
        <w:t>,</w:t>
      </w:r>
      <w:r w:rsidRPr="00A626A8">
        <w:rPr>
          <w:i/>
          <w:noProof/>
          <w:lang w:val="en-US"/>
        </w:rPr>
        <w:t xml:space="preserve"> 25</w:t>
      </w:r>
      <w:r w:rsidRPr="00A626A8">
        <w:rPr>
          <w:noProof/>
          <w:lang w:val="en-US"/>
        </w:rPr>
        <w:t xml:space="preserve">(3). https://doi.org/10.1629/2048-7754.25.3.235 </w:t>
      </w:r>
    </w:p>
    <w:p w14:paraId="657ECA5C" w14:textId="77777777" w:rsidR="00A626A8" w:rsidRPr="00A626A8" w:rsidRDefault="00A626A8" w:rsidP="00563A99">
      <w:pPr>
        <w:pStyle w:val="EndNoteBibliography"/>
        <w:ind w:left="720" w:hanging="720"/>
        <w:rPr>
          <w:noProof/>
          <w:lang w:val="en-US"/>
        </w:rPr>
      </w:pPr>
      <w:r w:rsidRPr="00A626A8">
        <w:rPr>
          <w:noProof/>
          <w:lang w:val="en-US"/>
        </w:rPr>
        <w:t xml:space="preserve">Houghton, J., &amp; Sheehan, P. (2006). The economic impact of enhanced access to research findings. </w:t>
      </w:r>
      <w:r w:rsidRPr="00A626A8">
        <w:rPr>
          <w:i/>
          <w:noProof/>
          <w:lang w:val="en-US"/>
        </w:rPr>
        <w:t>CSES Working paper</w:t>
      </w:r>
      <w:r w:rsidRPr="00A626A8">
        <w:rPr>
          <w:noProof/>
          <w:lang w:val="en-US"/>
        </w:rPr>
        <w:t xml:space="preserve">(23). </w:t>
      </w:r>
    </w:p>
    <w:p w14:paraId="4C2620E9" w14:textId="77777777" w:rsidR="00A626A8" w:rsidRPr="00A626A8" w:rsidRDefault="00A626A8" w:rsidP="00563A99">
      <w:pPr>
        <w:pStyle w:val="EndNoteBibliography"/>
        <w:ind w:left="720" w:hanging="720"/>
        <w:rPr>
          <w:noProof/>
          <w:lang w:val="en-US"/>
        </w:rPr>
      </w:pPr>
      <w:r w:rsidRPr="00A626A8">
        <w:rPr>
          <w:noProof/>
          <w:lang w:val="en-US"/>
        </w:rPr>
        <w:t xml:space="preserve">Huffman, J. (2022). E-journal package renewal through a transformative agreement: our first experience. </w:t>
      </w:r>
      <w:r w:rsidRPr="00A626A8">
        <w:rPr>
          <w:i/>
          <w:noProof/>
          <w:lang w:val="en-US"/>
        </w:rPr>
        <w:t>Journal of Electronic Resources Librarianship</w:t>
      </w:r>
      <w:r w:rsidRPr="00A626A8">
        <w:rPr>
          <w:noProof/>
          <w:lang w:val="en-US"/>
        </w:rPr>
        <w:t>,</w:t>
      </w:r>
      <w:r w:rsidRPr="00A626A8">
        <w:rPr>
          <w:i/>
          <w:noProof/>
          <w:lang w:val="en-US"/>
        </w:rPr>
        <w:t xml:space="preserve"> 34</w:t>
      </w:r>
      <w:r w:rsidRPr="00A626A8">
        <w:rPr>
          <w:noProof/>
          <w:lang w:val="en-US"/>
        </w:rPr>
        <w:t xml:space="preserve">(3), 276-279. https://doi.org/10.1080/1941126X.2022.2099055 </w:t>
      </w:r>
    </w:p>
    <w:p w14:paraId="6DC95D4A" w14:textId="77777777" w:rsidR="00A626A8" w:rsidRPr="00A626A8" w:rsidRDefault="00A626A8" w:rsidP="00563A99">
      <w:pPr>
        <w:pStyle w:val="EndNoteBibliography"/>
        <w:ind w:left="720" w:hanging="720"/>
        <w:rPr>
          <w:noProof/>
          <w:lang w:val="en-US"/>
        </w:rPr>
      </w:pPr>
      <w:r w:rsidRPr="00A626A8">
        <w:rPr>
          <w:noProof/>
          <w:lang w:val="en-US"/>
        </w:rPr>
        <w:t xml:space="preserve">Inchcoombe, S., Winter, S., Lucraft, M., &amp; Baker, K. (2022). Transforming Transformative Agreements. </w:t>
      </w:r>
      <w:r w:rsidRPr="00A626A8">
        <w:rPr>
          <w:i/>
          <w:noProof/>
          <w:lang w:val="en-US"/>
        </w:rPr>
        <w:t>Logos</w:t>
      </w:r>
      <w:r w:rsidRPr="00A626A8">
        <w:rPr>
          <w:noProof/>
          <w:lang w:val="en-US"/>
        </w:rPr>
        <w:t>,</w:t>
      </w:r>
      <w:r w:rsidRPr="00A626A8">
        <w:rPr>
          <w:i/>
          <w:noProof/>
          <w:lang w:val="en-US"/>
        </w:rPr>
        <w:t xml:space="preserve"> 32</w:t>
      </w:r>
      <w:r w:rsidRPr="00A626A8">
        <w:rPr>
          <w:noProof/>
          <w:lang w:val="en-US"/>
        </w:rPr>
        <w:t xml:space="preserve">(4), 7-14. https://doi.org/https://doi.org/10.1163/18784712-03104023 </w:t>
      </w:r>
    </w:p>
    <w:p w14:paraId="610CC722" w14:textId="77777777" w:rsidR="00A626A8" w:rsidRPr="00A626A8" w:rsidRDefault="00A626A8" w:rsidP="00563A99">
      <w:pPr>
        <w:pStyle w:val="EndNoteBibliography"/>
        <w:ind w:left="720" w:hanging="720"/>
        <w:rPr>
          <w:noProof/>
          <w:lang w:val="en-US"/>
        </w:rPr>
      </w:pPr>
      <w:r w:rsidRPr="00A626A8">
        <w:rPr>
          <w:noProof/>
          <w:lang w:val="en-US"/>
        </w:rPr>
        <w:t xml:space="preserve">Jahn, N., Matthias, L., &amp; Laakso, M. (2022). Toward transparency of hybrid open access through publisher‐provided metadata: An article‐level study of Elsevier. </w:t>
      </w:r>
      <w:r w:rsidRPr="00A626A8">
        <w:rPr>
          <w:i/>
          <w:noProof/>
          <w:lang w:val="en-US"/>
        </w:rPr>
        <w:t>Journal of the Association for Information Science and Technology</w:t>
      </w:r>
      <w:r w:rsidRPr="00A626A8">
        <w:rPr>
          <w:noProof/>
          <w:lang w:val="en-US"/>
        </w:rPr>
        <w:t>,</w:t>
      </w:r>
      <w:r w:rsidRPr="00A626A8">
        <w:rPr>
          <w:i/>
          <w:noProof/>
          <w:lang w:val="en-US"/>
        </w:rPr>
        <w:t xml:space="preserve"> 73</w:t>
      </w:r>
      <w:r w:rsidRPr="00A626A8">
        <w:rPr>
          <w:noProof/>
          <w:lang w:val="en-US"/>
        </w:rPr>
        <w:t xml:space="preserve">(1), 104-118. https://doi.org/10.1002/asi.24549 </w:t>
      </w:r>
    </w:p>
    <w:p w14:paraId="424048E1" w14:textId="77777777" w:rsidR="00A626A8" w:rsidRPr="00563A99" w:rsidRDefault="00A626A8" w:rsidP="00563A99">
      <w:pPr>
        <w:pStyle w:val="EndNoteBibliography"/>
        <w:ind w:left="720" w:hanging="720"/>
        <w:rPr>
          <w:noProof/>
        </w:rPr>
      </w:pPr>
      <w:r w:rsidRPr="00563A99">
        <w:rPr>
          <w:noProof/>
        </w:rPr>
        <w:t xml:space="preserve">Kungliga biblioteket. (2016, 2016 Jul 7). </w:t>
      </w:r>
      <w:r w:rsidRPr="00563A99">
        <w:rPr>
          <w:i/>
          <w:noProof/>
        </w:rPr>
        <w:t>Sveri­ge först i Norden med ny modell för att göra forsk­nings­publi­ka­tio­ner öppet till­gäng­li­ga (open access)</w:t>
      </w:r>
      <w:r w:rsidRPr="00563A99">
        <w:rPr>
          <w:noProof/>
        </w:rPr>
        <w:t xml:space="preserve">. Kungliga biblioteket. </w:t>
      </w:r>
      <w:r w:rsidRPr="00A626A8">
        <w:rPr>
          <w:noProof/>
        </w:rPr>
        <w:t>https://www.kb.se/samverkan-och-utveckling/nytt-fran-kb/nyheter-samverkan-och-utveckling/2016-07-07-sverige-forst-i-norden-med-ny-modell-for-att-gora-forskningspublikationer-oppet-tillgangliga-open-access.html</w:t>
      </w:r>
    </w:p>
    <w:p w14:paraId="3738BE4C" w14:textId="77777777" w:rsidR="00A626A8" w:rsidRPr="00563A99" w:rsidRDefault="00A626A8" w:rsidP="00563A99">
      <w:pPr>
        <w:pStyle w:val="EndNoteBibliography"/>
        <w:ind w:left="720" w:hanging="720"/>
        <w:rPr>
          <w:noProof/>
        </w:rPr>
      </w:pPr>
      <w:r w:rsidRPr="00563A99">
        <w:rPr>
          <w:noProof/>
        </w:rPr>
        <w:t xml:space="preserve">Kungliga biblioteket. (2019a). </w:t>
      </w:r>
      <w:r w:rsidRPr="00563A99">
        <w:rPr>
          <w:i/>
          <w:noProof/>
        </w:rPr>
        <w:t>Finansiering av omställningen från ett prenumerationsbaserat till ett öppet tillgängligt publiceringssystem : en utredning inom ramen för Kungliga bibliotekets nationella samordningsuppdrag för öppen tillgång till vetenskapliga publikationer</w:t>
      </w:r>
      <w:r w:rsidRPr="00563A99">
        <w:rPr>
          <w:noProof/>
        </w:rPr>
        <w:t xml:space="preserve">. Kungliga biblioteket, Enheten för nationell bibliotekssamverkan. </w:t>
      </w:r>
      <w:r w:rsidRPr="00A626A8">
        <w:rPr>
          <w:noProof/>
        </w:rPr>
        <w:t>http://urn.kb.se/resolve?urn=urn:nbn:se:kb:publ-413</w:t>
      </w:r>
      <w:r w:rsidRPr="00563A99">
        <w:rPr>
          <w:noProof/>
        </w:rPr>
        <w:t xml:space="preserve"> </w:t>
      </w:r>
    </w:p>
    <w:p w14:paraId="16E94C4B" w14:textId="77777777" w:rsidR="00A626A8" w:rsidRPr="00563A99" w:rsidRDefault="00A626A8" w:rsidP="00563A99">
      <w:pPr>
        <w:pStyle w:val="EndNoteBibliography"/>
        <w:ind w:left="720" w:hanging="720"/>
        <w:rPr>
          <w:noProof/>
        </w:rPr>
      </w:pPr>
      <w:r w:rsidRPr="00563A99">
        <w:rPr>
          <w:noProof/>
        </w:rPr>
        <w:t xml:space="preserve">Kungliga biblioteket. (2019b). </w:t>
      </w:r>
      <w:r w:rsidRPr="00563A99">
        <w:rPr>
          <w:i/>
          <w:noProof/>
        </w:rPr>
        <w:t>Omställningen till ett öppet tillgängligt vetenskapligt publiceringssystem : slutrapport av Kungliga bibliotekets utredningsarbete för öppen tillgång till vetenskapliga publikationer</w:t>
      </w:r>
      <w:r w:rsidRPr="00563A99">
        <w:rPr>
          <w:noProof/>
        </w:rPr>
        <w:t xml:space="preserve">. Kungliga biblioteket. </w:t>
      </w:r>
      <w:r w:rsidRPr="00A626A8">
        <w:rPr>
          <w:noProof/>
        </w:rPr>
        <w:t>https://rj.se/globalassets/for-forskare/open-access/oppet_tillgangligt_vet_publ.pdf</w:t>
      </w:r>
      <w:r w:rsidRPr="00563A99">
        <w:rPr>
          <w:noProof/>
        </w:rPr>
        <w:t xml:space="preserve"> </w:t>
      </w:r>
    </w:p>
    <w:p w14:paraId="0F209531" w14:textId="77777777" w:rsidR="00A626A8" w:rsidRPr="00563A99" w:rsidRDefault="00A626A8" w:rsidP="00563A99">
      <w:pPr>
        <w:pStyle w:val="EndNoteBibliography"/>
        <w:ind w:left="720" w:hanging="720"/>
        <w:rPr>
          <w:noProof/>
        </w:rPr>
      </w:pPr>
      <w:r w:rsidRPr="00563A99">
        <w:rPr>
          <w:noProof/>
        </w:rPr>
        <w:t xml:space="preserve">Kungliga biblioteket. (2022, 2022 Okt 4). </w:t>
      </w:r>
      <w:r w:rsidRPr="00563A99">
        <w:rPr>
          <w:i/>
          <w:noProof/>
        </w:rPr>
        <w:t>Bibsam­kon­sor­ti­et</w:t>
      </w:r>
      <w:r w:rsidRPr="00563A99">
        <w:rPr>
          <w:noProof/>
        </w:rPr>
        <w:t xml:space="preserve">. Kungliga biblioteket. </w:t>
      </w:r>
      <w:r w:rsidRPr="00A626A8">
        <w:rPr>
          <w:noProof/>
        </w:rPr>
        <w:t>https://www.kb.se/samverkan-och-utveckling/oppen-tillgang-och-bibsamkonsortiet/bibsamkonsortiet.html</w:t>
      </w:r>
    </w:p>
    <w:p w14:paraId="70083843" w14:textId="77777777" w:rsidR="00A626A8" w:rsidRPr="00A626A8" w:rsidRDefault="00A626A8" w:rsidP="00563A99">
      <w:pPr>
        <w:pStyle w:val="EndNoteBibliography"/>
        <w:ind w:left="720" w:hanging="720"/>
        <w:rPr>
          <w:noProof/>
          <w:lang w:val="en-US"/>
        </w:rPr>
      </w:pPr>
      <w:r w:rsidRPr="00A626A8">
        <w:rPr>
          <w:noProof/>
          <w:lang w:val="en-US"/>
        </w:rPr>
        <w:t xml:space="preserve">Larivière, V., Haustein, S., &amp; Mongeon, P. (2015). The oligopoly of academic publishers in the digital era. </w:t>
      </w:r>
      <w:r w:rsidRPr="00A626A8">
        <w:rPr>
          <w:i/>
          <w:noProof/>
          <w:lang w:val="en-US"/>
        </w:rPr>
        <w:t>PLoS One</w:t>
      </w:r>
      <w:r w:rsidRPr="00A626A8">
        <w:rPr>
          <w:noProof/>
          <w:lang w:val="en-US"/>
        </w:rPr>
        <w:t>,</w:t>
      </w:r>
      <w:r w:rsidRPr="00A626A8">
        <w:rPr>
          <w:i/>
          <w:noProof/>
          <w:lang w:val="en-US"/>
        </w:rPr>
        <w:t xml:space="preserve"> 10</w:t>
      </w:r>
      <w:r w:rsidRPr="00A626A8">
        <w:rPr>
          <w:noProof/>
          <w:lang w:val="en-US"/>
        </w:rPr>
        <w:t xml:space="preserve">(6). https://www.ncbi.nlm.nih.gov/pmc/articles/PMC4465327/pdf/pone.0127502.pdf </w:t>
      </w:r>
    </w:p>
    <w:p w14:paraId="06635CC7" w14:textId="77777777" w:rsidR="00A626A8" w:rsidRPr="00A626A8" w:rsidRDefault="00A626A8" w:rsidP="00563A99">
      <w:pPr>
        <w:pStyle w:val="EndNoteBibliography"/>
        <w:ind w:left="720" w:hanging="720"/>
        <w:rPr>
          <w:noProof/>
          <w:lang w:val="en-US"/>
        </w:rPr>
      </w:pPr>
      <w:r w:rsidRPr="00A626A8">
        <w:rPr>
          <w:noProof/>
          <w:lang w:val="en-US"/>
        </w:rPr>
        <w:t xml:space="preserve">Lund, A., &amp; Zukerfeld, M. (2020). Profiting from Open Access Publishing. In </w:t>
      </w:r>
      <w:r w:rsidRPr="00A626A8">
        <w:rPr>
          <w:i/>
          <w:noProof/>
          <w:lang w:val="en-US"/>
        </w:rPr>
        <w:t>Corporate Capitalism's Use of Openness : Profit for Free?</w:t>
      </w:r>
      <w:r w:rsidRPr="00A626A8">
        <w:rPr>
          <w:noProof/>
          <w:lang w:val="en-US"/>
        </w:rPr>
        <w:t xml:space="preserve"> (pp. 149-197). Springer International Publishing. https://doi.org/10.1007/978-3-030-28219-6_4 </w:t>
      </w:r>
    </w:p>
    <w:p w14:paraId="2CEAEA47" w14:textId="77777777" w:rsidR="00A626A8" w:rsidRPr="00A626A8" w:rsidRDefault="00A626A8" w:rsidP="00563A99">
      <w:pPr>
        <w:pStyle w:val="EndNoteBibliography"/>
        <w:ind w:left="720" w:hanging="720"/>
        <w:rPr>
          <w:noProof/>
          <w:lang w:val="en-US"/>
        </w:rPr>
      </w:pPr>
      <w:r w:rsidRPr="00A626A8">
        <w:rPr>
          <w:noProof/>
          <w:lang w:val="en-US"/>
        </w:rPr>
        <w:t xml:space="preserve">Lundén, A., Smith, C., &amp; Wideberg, B.-M. (2018). National licence negotiations advancing the open access transition–a view from Sweden. </w:t>
      </w:r>
      <w:r w:rsidRPr="00A626A8">
        <w:rPr>
          <w:i/>
          <w:noProof/>
          <w:lang w:val="en-US"/>
        </w:rPr>
        <w:t>Insights: the UKSG Journal</w:t>
      </w:r>
      <w:r w:rsidRPr="00A626A8">
        <w:rPr>
          <w:noProof/>
          <w:lang w:val="en-US"/>
        </w:rPr>
        <w:t>,</w:t>
      </w:r>
      <w:r w:rsidRPr="00A626A8">
        <w:rPr>
          <w:i/>
          <w:noProof/>
          <w:lang w:val="en-US"/>
        </w:rPr>
        <w:t xml:space="preserve"> 31</w:t>
      </w:r>
      <w:r w:rsidRPr="00A626A8">
        <w:rPr>
          <w:noProof/>
          <w:lang w:val="en-US"/>
        </w:rPr>
        <w:t xml:space="preserve">. https://doi.org/10.1629/uksg.413 </w:t>
      </w:r>
    </w:p>
    <w:p w14:paraId="4B2A712C" w14:textId="77777777" w:rsidR="00A626A8" w:rsidRPr="00A626A8" w:rsidRDefault="00A626A8" w:rsidP="00563A99">
      <w:pPr>
        <w:pStyle w:val="EndNoteBibliography"/>
        <w:ind w:left="720" w:hanging="720"/>
        <w:rPr>
          <w:noProof/>
          <w:lang w:val="en-US"/>
        </w:rPr>
      </w:pPr>
      <w:r w:rsidRPr="00A626A8">
        <w:rPr>
          <w:noProof/>
          <w:lang w:val="en-US"/>
        </w:rPr>
        <w:t xml:space="preserve">Marques, M., &amp; Stone, G. (2020). Transitioning to Open Access: An Evaluation of the UK Springer Compact Agreement Pilot 2016-2018. </w:t>
      </w:r>
      <w:r w:rsidRPr="00A626A8">
        <w:rPr>
          <w:i/>
          <w:noProof/>
          <w:lang w:val="en-US"/>
        </w:rPr>
        <w:t>College &amp; Research Libraries</w:t>
      </w:r>
      <w:r w:rsidRPr="00A626A8">
        <w:rPr>
          <w:noProof/>
          <w:lang w:val="en-US"/>
        </w:rPr>
        <w:t>,</w:t>
      </w:r>
      <w:r w:rsidRPr="00A626A8">
        <w:rPr>
          <w:i/>
          <w:noProof/>
          <w:lang w:val="en-US"/>
        </w:rPr>
        <w:t xml:space="preserve"> 81</w:t>
      </w:r>
      <w:r w:rsidRPr="00A626A8">
        <w:rPr>
          <w:noProof/>
          <w:lang w:val="en-US"/>
        </w:rPr>
        <w:t xml:space="preserve">(6), 913-927. </w:t>
      </w:r>
      <w:r w:rsidRPr="00A626A8">
        <w:rPr>
          <w:noProof/>
          <w:lang w:val="en-US"/>
        </w:rPr>
        <w:lastRenderedPageBreak/>
        <w:t>https://ludwig.lub.lu.se/login?url=https://search.ebscohost.com/login.aspx?direct=true&amp;AuthType=ip,uid&amp;db=eric&amp;AN=EJ1267647&amp;site=ehost-live</w:t>
      </w:r>
    </w:p>
    <w:p w14:paraId="3644747C" w14:textId="77777777" w:rsidR="00A626A8" w:rsidRPr="00A626A8" w:rsidRDefault="00A626A8" w:rsidP="00563A99">
      <w:pPr>
        <w:pStyle w:val="EndNoteBibliography"/>
        <w:ind w:left="720" w:hanging="720"/>
        <w:rPr>
          <w:noProof/>
          <w:lang w:val="en-US"/>
        </w:rPr>
      </w:pPr>
      <w:r w:rsidRPr="00A626A8">
        <w:rPr>
          <w:noProof/>
          <w:lang w:val="en-US"/>
        </w:rPr>
        <w:t xml:space="preserve">https://doi.org/10.5860/crl.81.6.913 </w:t>
      </w:r>
    </w:p>
    <w:p w14:paraId="7B35882B" w14:textId="77777777" w:rsidR="00A626A8" w:rsidRPr="00A626A8" w:rsidRDefault="00A626A8" w:rsidP="00563A99">
      <w:pPr>
        <w:pStyle w:val="EndNoteBibliography"/>
        <w:ind w:left="720" w:hanging="720"/>
        <w:rPr>
          <w:noProof/>
          <w:lang w:val="en-US"/>
        </w:rPr>
      </w:pPr>
      <w:r w:rsidRPr="00A626A8">
        <w:rPr>
          <w:noProof/>
          <w:lang w:val="en-US"/>
        </w:rPr>
        <w:t xml:space="preserve">Meagher, K. (2021). Introduction: the politics of Open Access—decolonizing research or corporate capture? </w:t>
      </w:r>
      <w:r w:rsidRPr="00A626A8">
        <w:rPr>
          <w:i/>
          <w:noProof/>
          <w:lang w:val="en-US"/>
        </w:rPr>
        <w:t>Development and Change</w:t>
      </w:r>
      <w:r w:rsidRPr="00A626A8">
        <w:rPr>
          <w:noProof/>
          <w:lang w:val="en-US"/>
        </w:rPr>
        <w:t>,</w:t>
      </w:r>
      <w:r w:rsidRPr="00A626A8">
        <w:rPr>
          <w:i/>
          <w:noProof/>
          <w:lang w:val="en-US"/>
        </w:rPr>
        <w:t xml:space="preserve"> 52</w:t>
      </w:r>
      <w:r w:rsidRPr="00A626A8">
        <w:rPr>
          <w:noProof/>
          <w:lang w:val="en-US"/>
        </w:rPr>
        <w:t xml:space="preserve">(2), 340-358. https://doi.org/10.1111/dech.12630 </w:t>
      </w:r>
    </w:p>
    <w:p w14:paraId="4FB5D2A1" w14:textId="77777777" w:rsidR="00A626A8" w:rsidRPr="00A626A8" w:rsidRDefault="00A626A8" w:rsidP="00563A99">
      <w:pPr>
        <w:pStyle w:val="EndNoteBibliography"/>
        <w:ind w:left="720" w:hanging="720"/>
        <w:rPr>
          <w:noProof/>
          <w:lang w:val="en-US"/>
        </w:rPr>
      </w:pPr>
      <w:r w:rsidRPr="00A626A8">
        <w:rPr>
          <w:noProof/>
          <w:lang w:val="en-US"/>
        </w:rPr>
        <w:t xml:space="preserve">Moskovkin, V. M., Saprykina, T. V., &amp; Boichuk, I. V. (2022). Transformative agreements in the development of open access. </w:t>
      </w:r>
      <w:r w:rsidRPr="00A626A8">
        <w:rPr>
          <w:i/>
          <w:noProof/>
          <w:lang w:val="en-US"/>
        </w:rPr>
        <w:t>Journal of Electronic Resources Librarianship</w:t>
      </w:r>
      <w:r w:rsidRPr="00A626A8">
        <w:rPr>
          <w:noProof/>
          <w:lang w:val="en-US"/>
        </w:rPr>
        <w:t>,</w:t>
      </w:r>
      <w:r w:rsidRPr="00A626A8">
        <w:rPr>
          <w:i/>
          <w:noProof/>
          <w:lang w:val="en-US"/>
        </w:rPr>
        <w:t xml:space="preserve"> 34</w:t>
      </w:r>
      <w:r w:rsidRPr="00A626A8">
        <w:rPr>
          <w:noProof/>
          <w:lang w:val="en-US"/>
        </w:rPr>
        <w:t xml:space="preserve">(3), 165-207. https://doi.org/10.1080/1941126X.2022.2099000 </w:t>
      </w:r>
    </w:p>
    <w:p w14:paraId="0D5E51D1" w14:textId="77777777" w:rsidR="00A626A8" w:rsidRPr="00A626A8" w:rsidRDefault="00A626A8" w:rsidP="00563A99">
      <w:pPr>
        <w:pStyle w:val="EndNoteBibliography"/>
        <w:ind w:left="720" w:hanging="720"/>
        <w:rPr>
          <w:noProof/>
          <w:lang w:val="en-US"/>
        </w:rPr>
      </w:pPr>
      <w:r w:rsidRPr="00A626A8">
        <w:rPr>
          <w:noProof/>
          <w:lang w:val="en-US"/>
        </w:rPr>
        <w:t xml:space="preserve">Mørk Røstvik, C., &amp; Fyfe, A. (2022). Money and Mission in the Digital Age, 1990-2015. In A. Fyfe, N. Moxham, J. McDougall-Waters, &amp; C. Mørk Røstvik (Eds.), </w:t>
      </w:r>
      <w:r w:rsidRPr="00A626A8">
        <w:rPr>
          <w:i/>
          <w:noProof/>
          <w:lang w:val="en-US"/>
        </w:rPr>
        <w:t>A History of Scientific Journals: Publishing at the Royal Society, 1665-2015</w:t>
      </w:r>
      <w:r w:rsidRPr="00A626A8">
        <w:rPr>
          <w:noProof/>
          <w:lang w:val="en-US"/>
        </w:rPr>
        <w:t xml:space="preserve"> (pp. 549-591). UCL Press. https://discovery.ucl.ac.uk/id/eprint/10156072/1/A-History-of-Scientific-Journals.pdf </w:t>
      </w:r>
    </w:p>
    <w:p w14:paraId="767584E8" w14:textId="77777777" w:rsidR="00A626A8" w:rsidRPr="00A626A8" w:rsidRDefault="00A626A8" w:rsidP="00563A99">
      <w:pPr>
        <w:pStyle w:val="EndNoteBibliography"/>
        <w:ind w:left="720" w:hanging="720"/>
        <w:rPr>
          <w:noProof/>
          <w:lang w:val="en-US"/>
        </w:rPr>
      </w:pPr>
      <w:r w:rsidRPr="00563A99">
        <w:rPr>
          <w:noProof/>
        </w:rPr>
        <w:t xml:space="preserve">Olsson, L., Francke, H., Lindelöw, C. H., &amp; Willén, N. (2020). </w:t>
      </w:r>
      <w:r w:rsidRPr="00A626A8">
        <w:rPr>
          <w:noProof/>
          <w:lang w:val="en-US"/>
        </w:rPr>
        <w:t xml:space="preserve">The first Swedish Read &amp; Publish agreement : An evaluation of the Springer Compact pilot. </w:t>
      </w:r>
      <w:r w:rsidRPr="00A626A8">
        <w:rPr>
          <w:i/>
          <w:noProof/>
          <w:lang w:val="en-US"/>
        </w:rPr>
        <w:t>Liber quarterly: the journal of European research libraries</w:t>
      </w:r>
      <w:r w:rsidRPr="00A626A8">
        <w:rPr>
          <w:noProof/>
          <w:lang w:val="en-US"/>
        </w:rPr>
        <w:t>,</w:t>
      </w:r>
      <w:r w:rsidRPr="00A626A8">
        <w:rPr>
          <w:i/>
          <w:noProof/>
          <w:lang w:val="en-US"/>
        </w:rPr>
        <w:t xml:space="preserve"> 30</w:t>
      </w:r>
      <w:r w:rsidRPr="00A626A8">
        <w:rPr>
          <w:noProof/>
          <w:lang w:val="en-US"/>
        </w:rPr>
        <w:t xml:space="preserve">(1), 1-33. https://doi.org/10.18352/lq.10309 </w:t>
      </w:r>
    </w:p>
    <w:p w14:paraId="1578AB26" w14:textId="77777777" w:rsidR="00A626A8" w:rsidRPr="00A626A8" w:rsidRDefault="00A626A8" w:rsidP="00563A99">
      <w:pPr>
        <w:pStyle w:val="EndNoteBibliography"/>
        <w:ind w:left="720" w:hanging="720"/>
        <w:rPr>
          <w:noProof/>
          <w:lang w:val="en-US"/>
        </w:rPr>
      </w:pPr>
      <w:r w:rsidRPr="00A626A8">
        <w:rPr>
          <w:noProof/>
          <w:lang w:val="en-US"/>
        </w:rPr>
        <w:t xml:space="preserve">Openaccess.nl. (u.å., 2022, 25 Feb). </w:t>
      </w:r>
      <w:r w:rsidRPr="00A626A8">
        <w:rPr>
          <w:i/>
          <w:noProof/>
          <w:lang w:val="en-US"/>
        </w:rPr>
        <w:t>Current situation</w:t>
      </w:r>
      <w:r w:rsidRPr="00A626A8">
        <w:rPr>
          <w:noProof/>
          <w:lang w:val="en-US"/>
        </w:rPr>
        <w:t>. Openaccess.nl. https://www.openaccess.nl/en/in-the-netherlands/current-situation</w:t>
      </w:r>
    </w:p>
    <w:p w14:paraId="514A95D0" w14:textId="77777777" w:rsidR="00A626A8" w:rsidRPr="00A626A8" w:rsidRDefault="00A626A8" w:rsidP="00563A99">
      <w:pPr>
        <w:pStyle w:val="EndNoteBibliography"/>
        <w:ind w:left="720" w:hanging="720"/>
        <w:rPr>
          <w:noProof/>
          <w:lang w:val="en-US"/>
        </w:rPr>
      </w:pPr>
      <w:r w:rsidRPr="00A626A8">
        <w:rPr>
          <w:noProof/>
          <w:lang w:val="en-US"/>
        </w:rPr>
        <w:t xml:space="preserve">Page, B. (2019). Elsevier records 2% lifts in revenue and profits. </w:t>
      </w:r>
      <w:r w:rsidRPr="00A626A8">
        <w:rPr>
          <w:i/>
          <w:noProof/>
          <w:lang w:val="en-US"/>
        </w:rPr>
        <w:t>The Bookseller</w:t>
      </w:r>
      <w:r w:rsidRPr="00A626A8">
        <w:rPr>
          <w:noProof/>
          <w:lang w:val="en-US"/>
        </w:rPr>
        <w:t>,</w:t>
      </w:r>
      <w:r w:rsidRPr="00A626A8">
        <w:rPr>
          <w:i/>
          <w:noProof/>
          <w:lang w:val="en-US"/>
        </w:rPr>
        <w:t xml:space="preserve"> 21</w:t>
      </w:r>
      <w:r w:rsidRPr="00A626A8">
        <w:rPr>
          <w:noProof/>
          <w:lang w:val="en-US"/>
        </w:rPr>
        <w:t xml:space="preserve">. </w:t>
      </w:r>
    </w:p>
    <w:p w14:paraId="35623191" w14:textId="77777777" w:rsidR="00A626A8" w:rsidRPr="00A626A8" w:rsidRDefault="00A626A8" w:rsidP="00563A99">
      <w:pPr>
        <w:pStyle w:val="EndNoteBibliography"/>
        <w:ind w:left="720" w:hanging="720"/>
        <w:rPr>
          <w:noProof/>
          <w:lang w:val="en-US"/>
        </w:rPr>
      </w:pPr>
      <w:r w:rsidRPr="00A626A8">
        <w:rPr>
          <w:noProof/>
          <w:lang w:val="en-US"/>
        </w:rPr>
        <w:t xml:space="preserve">Rita, P., Lothar, H., &amp; Brigitte, K. (2021). Austrian Transition to Open Access: a collaborative approach. </w:t>
      </w:r>
      <w:r w:rsidRPr="00A626A8">
        <w:rPr>
          <w:i/>
          <w:noProof/>
          <w:lang w:val="en-US"/>
        </w:rPr>
        <w:t>Insights: the UKSG Journal</w:t>
      </w:r>
      <w:r w:rsidRPr="00A626A8">
        <w:rPr>
          <w:noProof/>
          <w:lang w:val="en-US"/>
        </w:rPr>
        <w:t>,</w:t>
      </w:r>
      <w:r w:rsidRPr="00A626A8">
        <w:rPr>
          <w:i/>
          <w:noProof/>
          <w:lang w:val="en-US"/>
        </w:rPr>
        <w:t xml:space="preserve"> 34</w:t>
      </w:r>
      <w:r w:rsidRPr="00A626A8">
        <w:rPr>
          <w:noProof/>
          <w:lang w:val="en-US"/>
        </w:rPr>
        <w:t xml:space="preserve">(1). https://doi.org/10.1629/uksg.561 </w:t>
      </w:r>
    </w:p>
    <w:p w14:paraId="13145BD3" w14:textId="77777777" w:rsidR="00A626A8" w:rsidRPr="00563A99" w:rsidRDefault="00A626A8" w:rsidP="00563A99">
      <w:pPr>
        <w:pStyle w:val="EndNoteBibliography"/>
        <w:ind w:left="720" w:hanging="720"/>
        <w:rPr>
          <w:noProof/>
        </w:rPr>
      </w:pPr>
      <w:r w:rsidRPr="00A626A8">
        <w:rPr>
          <w:noProof/>
          <w:lang w:val="en-US"/>
        </w:rPr>
        <w:t xml:space="preserve">Suber, P. (2012). </w:t>
      </w:r>
      <w:r w:rsidRPr="00563A99">
        <w:rPr>
          <w:i/>
          <w:noProof/>
        </w:rPr>
        <w:t>Open access</w:t>
      </w:r>
      <w:r w:rsidRPr="00563A99">
        <w:rPr>
          <w:noProof/>
        </w:rPr>
        <w:t xml:space="preserve">. MIT Press. </w:t>
      </w:r>
    </w:p>
    <w:p w14:paraId="0F136075" w14:textId="77777777" w:rsidR="00A626A8" w:rsidRPr="00563A99" w:rsidRDefault="00A626A8" w:rsidP="00563A99">
      <w:pPr>
        <w:pStyle w:val="EndNoteBibliography"/>
        <w:ind w:left="720" w:hanging="720"/>
        <w:rPr>
          <w:noProof/>
        </w:rPr>
      </w:pPr>
      <w:r w:rsidRPr="00563A99">
        <w:rPr>
          <w:noProof/>
        </w:rPr>
        <w:t xml:space="preserve">Sveriges unga akademi. </w:t>
      </w:r>
      <w:r w:rsidRPr="00A626A8">
        <w:rPr>
          <w:noProof/>
          <w:lang w:val="en-US"/>
        </w:rPr>
        <w:t xml:space="preserve">(2022). </w:t>
      </w:r>
      <w:r w:rsidRPr="00A626A8">
        <w:rPr>
          <w:i/>
          <w:noProof/>
          <w:lang w:val="en-US"/>
        </w:rPr>
        <w:t>Beginner’s Guide to Swedish Academia</w:t>
      </w:r>
      <w:r w:rsidRPr="00A626A8">
        <w:rPr>
          <w:noProof/>
          <w:lang w:val="en-US"/>
        </w:rPr>
        <w:t xml:space="preserve">. </w:t>
      </w:r>
      <w:r w:rsidRPr="00563A99">
        <w:rPr>
          <w:noProof/>
        </w:rPr>
        <w:t xml:space="preserve">Sveriges unga akademi. </w:t>
      </w:r>
      <w:r w:rsidRPr="00A626A8">
        <w:rPr>
          <w:noProof/>
        </w:rPr>
        <w:t>https://www.sverigesungaakademi.se/download/18.1f0218fc182e9266317610b/1663597147861/YAS_BeginnersGuidetoSwedishAcademia.pdf</w:t>
      </w:r>
      <w:r w:rsidRPr="00563A99">
        <w:rPr>
          <w:noProof/>
        </w:rPr>
        <w:t xml:space="preserve"> </w:t>
      </w:r>
    </w:p>
    <w:p w14:paraId="756821D2" w14:textId="77777777" w:rsidR="00A626A8" w:rsidRPr="00563A99" w:rsidRDefault="00A626A8" w:rsidP="00563A99">
      <w:pPr>
        <w:pStyle w:val="EndNoteBibliography"/>
        <w:ind w:left="720" w:hanging="720"/>
        <w:rPr>
          <w:noProof/>
        </w:rPr>
      </w:pPr>
      <w:r w:rsidRPr="00563A99">
        <w:rPr>
          <w:noProof/>
        </w:rPr>
        <w:t xml:space="preserve">Vetenskapsrådet. (2015). </w:t>
      </w:r>
      <w:r w:rsidRPr="00563A99">
        <w:rPr>
          <w:i/>
          <w:noProof/>
        </w:rPr>
        <w:t>Forskningens framtid! Svensk vetenskaplig produktion och publiceringsmönster i ett internationellt perspektiv</w:t>
      </w:r>
      <w:r w:rsidRPr="00563A99">
        <w:rPr>
          <w:noProof/>
        </w:rPr>
        <w:t xml:space="preserve">. Vetenskapsrådet. </w:t>
      </w:r>
      <w:r w:rsidRPr="00A626A8">
        <w:rPr>
          <w:noProof/>
        </w:rPr>
        <w:t>https://www.vr.se/analys/rapporter/vara-rapporter/2015-09-15-forskningens-framtid-svensk-vetenskaplig-produktion-och-publiceringsmonster-i-ett-internationellt-perspektiv.html</w:t>
      </w:r>
    </w:p>
    <w:p w14:paraId="36E673C5" w14:textId="77777777" w:rsidR="00A626A8" w:rsidRPr="00563A99" w:rsidRDefault="00A626A8" w:rsidP="00563A99">
      <w:pPr>
        <w:pStyle w:val="EndNoteBibliography"/>
        <w:ind w:left="720" w:hanging="720"/>
        <w:rPr>
          <w:noProof/>
        </w:rPr>
      </w:pPr>
      <w:r w:rsidRPr="00563A99">
        <w:rPr>
          <w:noProof/>
        </w:rPr>
        <w:t xml:space="preserve">Vetenskapsrådet. (2022). </w:t>
      </w:r>
      <w:r w:rsidRPr="00563A99">
        <w:rPr>
          <w:i/>
          <w:noProof/>
        </w:rPr>
        <w:t>Forskares förutsättningar för publicering med öppen tillgång – med fokus på Sverige</w:t>
      </w:r>
      <w:r w:rsidRPr="00563A99">
        <w:rPr>
          <w:noProof/>
        </w:rPr>
        <w:t xml:space="preserve">. Vetenskapsrådet. </w:t>
      </w:r>
      <w:r w:rsidRPr="00A626A8">
        <w:rPr>
          <w:noProof/>
        </w:rPr>
        <w:t>https://www.vr.se/analys/rapporter/vara-rapporter/2022-10-24-forskares-forutsattningar-for-publicering-med-oppen-tillgang---med-fokus-pa-sverige.html</w:t>
      </w:r>
      <w:r w:rsidRPr="00563A99">
        <w:rPr>
          <w:noProof/>
        </w:rPr>
        <w:t xml:space="preserve"> </w:t>
      </w:r>
    </w:p>
    <w:p w14:paraId="41F4176C" w14:textId="77777777" w:rsidR="00A626A8" w:rsidRPr="00A626A8" w:rsidRDefault="00A626A8" w:rsidP="00563A99">
      <w:pPr>
        <w:pStyle w:val="EndNoteBibliography"/>
        <w:ind w:left="720" w:hanging="720"/>
        <w:rPr>
          <w:noProof/>
          <w:lang w:val="en-US"/>
        </w:rPr>
      </w:pPr>
      <w:r w:rsidRPr="00A626A8">
        <w:rPr>
          <w:noProof/>
          <w:lang w:val="en-US"/>
        </w:rPr>
        <w:t xml:space="preserve">Wise, A., &amp; Estelle, L. (2020). How society publishers can accelerate their transition to open access and align with Plan S. </w:t>
      </w:r>
      <w:r w:rsidRPr="00A626A8">
        <w:rPr>
          <w:i/>
          <w:noProof/>
          <w:lang w:val="en-US"/>
        </w:rPr>
        <w:t>Learned Publishing</w:t>
      </w:r>
      <w:r w:rsidRPr="00A626A8">
        <w:rPr>
          <w:noProof/>
          <w:lang w:val="en-US"/>
        </w:rPr>
        <w:t>,</w:t>
      </w:r>
      <w:r w:rsidRPr="00A626A8">
        <w:rPr>
          <w:i/>
          <w:noProof/>
          <w:lang w:val="en-US"/>
        </w:rPr>
        <w:t xml:space="preserve"> 33</w:t>
      </w:r>
      <w:r w:rsidRPr="00A626A8">
        <w:rPr>
          <w:noProof/>
          <w:lang w:val="en-US"/>
        </w:rPr>
        <w:t xml:space="preserve">(1), 14-27. https://doi.org/10.1002/leap.1272 </w:t>
      </w:r>
    </w:p>
    <w:p w14:paraId="4C334F51" w14:textId="77777777" w:rsidR="00A626A8" w:rsidRPr="00A626A8" w:rsidRDefault="00A626A8">
      <w:pPr>
        <w:rPr>
          <w:lang w:val="en-US"/>
        </w:rPr>
      </w:pPr>
    </w:p>
    <w:p w14:paraId="6776C265" w14:textId="7BE1790F" w:rsidR="00D42117" w:rsidRDefault="00000000">
      <w:pPr>
        <w:rPr>
          <w:lang w:val="en-US"/>
        </w:rPr>
      </w:pPr>
    </w:p>
    <w:p w14:paraId="13EE219F" w14:textId="318C9D44" w:rsidR="00A626A8" w:rsidRDefault="00A626A8">
      <w:pPr>
        <w:rPr>
          <w:lang w:val="en-US"/>
        </w:rPr>
      </w:pPr>
    </w:p>
    <w:p w14:paraId="7A79FEA2" w14:textId="352A9140" w:rsidR="00A626A8" w:rsidRDefault="00A626A8">
      <w:pPr>
        <w:rPr>
          <w:lang w:val="en-US"/>
        </w:rPr>
      </w:pPr>
    </w:p>
    <w:p w14:paraId="3D131C97" w14:textId="213CAC9E" w:rsidR="00A626A8" w:rsidRDefault="00A626A8">
      <w:pPr>
        <w:rPr>
          <w:lang w:val="en-US"/>
        </w:rPr>
      </w:pPr>
    </w:p>
    <w:p w14:paraId="2FB6E21F" w14:textId="160D85FF" w:rsidR="00A626A8" w:rsidRDefault="00A626A8">
      <w:pPr>
        <w:rPr>
          <w:lang w:val="en-US"/>
        </w:rPr>
      </w:pPr>
    </w:p>
    <w:p w14:paraId="1FDA4D19" w14:textId="14CC7A2C" w:rsidR="00A626A8" w:rsidRDefault="00A626A8">
      <w:pPr>
        <w:rPr>
          <w:lang w:val="en-US"/>
        </w:rPr>
      </w:pPr>
    </w:p>
    <w:p w14:paraId="0377A568" w14:textId="20113BD5" w:rsidR="00A626A8" w:rsidRDefault="00A626A8">
      <w:pPr>
        <w:rPr>
          <w:lang w:val="en-US"/>
        </w:rPr>
      </w:pPr>
    </w:p>
    <w:p w14:paraId="503124EF" w14:textId="0862B467" w:rsidR="00A626A8" w:rsidRDefault="00A626A8">
      <w:pPr>
        <w:rPr>
          <w:lang w:val="en-US"/>
        </w:rPr>
      </w:pPr>
    </w:p>
    <w:p w14:paraId="4DAF8326" w14:textId="77777777" w:rsidR="00A626A8" w:rsidRDefault="00A626A8">
      <w:pPr>
        <w:rPr>
          <w:lang w:val="en-US"/>
        </w:rPr>
      </w:pPr>
    </w:p>
    <w:p w14:paraId="25221322" w14:textId="77777777" w:rsidR="00A626A8" w:rsidRPr="00A626A8" w:rsidRDefault="00A626A8" w:rsidP="00C4263A">
      <w:pPr>
        <w:pStyle w:val="Rubrik1"/>
      </w:pPr>
      <w:r w:rsidRPr="00A626A8">
        <w:lastRenderedPageBreak/>
        <w:t>Bilaga 1 – Tematiskt schema</w:t>
      </w:r>
    </w:p>
    <w:p w14:paraId="2744C809" w14:textId="77777777" w:rsidR="00A626A8" w:rsidRPr="00A626A8" w:rsidRDefault="00A626A8" w:rsidP="00A626A8">
      <w:pPr>
        <w:rPr>
          <w:rFonts w:asciiTheme="minorHAnsi" w:hAnsiTheme="minorHAnsi" w:cstheme="minorHAnsi"/>
        </w:rPr>
      </w:pPr>
    </w:p>
    <w:tbl>
      <w:tblPr>
        <w:tblStyle w:val="Tabellrutnt"/>
        <w:tblW w:w="10060" w:type="dxa"/>
        <w:tblLook w:val="04A0" w:firstRow="1" w:lastRow="0" w:firstColumn="1" w:lastColumn="0" w:noHBand="0" w:noVBand="1"/>
      </w:tblPr>
      <w:tblGrid>
        <w:gridCol w:w="2689"/>
        <w:gridCol w:w="4961"/>
        <w:gridCol w:w="2410"/>
      </w:tblGrid>
      <w:tr w:rsidR="00A626A8" w:rsidRPr="00A626A8" w14:paraId="4BABAF34" w14:textId="77777777" w:rsidTr="00CC5819">
        <w:tc>
          <w:tcPr>
            <w:tcW w:w="2689" w:type="dxa"/>
          </w:tcPr>
          <w:p w14:paraId="14BABC17" w14:textId="77777777" w:rsidR="00A626A8" w:rsidRPr="00A626A8" w:rsidRDefault="00A626A8" w:rsidP="00CC5819">
            <w:pPr>
              <w:rPr>
                <w:rFonts w:asciiTheme="minorHAnsi" w:hAnsiTheme="minorHAnsi" w:cstheme="minorHAnsi"/>
              </w:rPr>
            </w:pPr>
            <w:r w:rsidRPr="00A626A8">
              <w:rPr>
                <w:rFonts w:asciiTheme="minorHAnsi" w:hAnsiTheme="minorHAnsi" w:cstheme="minorHAnsi"/>
              </w:rPr>
              <w:t>Artikel/Rapport/Sida</w:t>
            </w:r>
          </w:p>
        </w:tc>
        <w:tc>
          <w:tcPr>
            <w:tcW w:w="4961" w:type="dxa"/>
          </w:tcPr>
          <w:p w14:paraId="5ACE8862" w14:textId="77777777" w:rsidR="00A626A8" w:rsidRPr="00A626A8" w:rsidRDefault="00A626A8" w:rsidP="00CC5819">
            <w:pPr>
              <w:rPr>
                <w:rFonts w:asciiTheme="minorHAnsi" w:hAnsiTheme="minorHAnsi" w:cstheme="minorHAnsi"/>
              </w:rPr>
            </w:pPr>
            <w:r w:rsidRPr="00A626A8">
              <w:rPr>
                <w:rFonts w:asciiTheme="minorHAnsi" w:hAnsiTheme="minorHAnsi" w:cstheme="minorHAnsi"/>
              </w:rPr>
              <w:t>Exempel</w:t>
            </w:r>
          </w:p>
        </w:tc>
        <w:tc>
          <w:tcPr>
            <w:tcW w:w="2410" w:type="dxa"/>
          </w:tcPr>
          <w:p w14:paraId="40530320" w14:textId="77777777" w:rsidR="00A626A8" w:rsidRPr="00A626A8" w:rsidRDefault="00A626A8" w:rsidP="00CC5819">
            <w:pPr>
              <w:rPr>
                <w:rFonts w:asciiTheme="minorHAnsi" w:hAnsiTheme="minorHAnsi" w:cstheme="minorHAnsi"/>
              </w:rPr>
            </w:pPr>
            <w:r w:rsidRPr="00A626A8">
              <w:rPr>
                <w:rFonts w:asciiTheme="minorHAnsi" w:hAnsiTheme="minorHAnsi" w:cstheme="minorHAnsi"/>
              </w:rPr>
              <w:t>Tema</w:t>
            </w:r>
          </w:p>
        </w:tc>
      </w:tr>
      <w:tr w:rsidR="00A626A8" w:rsidRPr="00A626A8" w14:paraId="72D8CCC7" w14:textId="77777777" w:rsidTr="00CC5819">
        <w:tc>
          <w:tcPr>
            <w:tcW w:w="2689" w:type="dxa"/>
          </w:tcPr>
          <w:p w14:paraId="146D29C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 xml:space="preserve">Kungliga biblioteket 2019a </w:t>
            </w:r>
          </w:p>
          <w:p w14:paraId="3AE92AA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Olsson et al 2019</w:t>
            </w:r>
          </w:p>
        </w:tc>
        <w:tc>
          <w:tcPr>
            <w:tcW w:w="4961" w:type="dxa"/>
          </w:tcPr>
          <w:p w14:paraId="1E166E0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Sveriges första LP med Springer</w:t>
            </w:r>
          </w:p>
          <w:p w14:paraId="5D88248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Publiceringskostnader</w:t>
            </w:r>
          </w:p>
          <w:p w14:paraId="4AEE90BB"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Ökning av OA-publiceringar</w:t>
            </w:r>
          </w:p>
        </w:tc>
        <w:tc>
          <w:tcPr>
            <w:tcW w:w="2410" w:type="dxa"/>
          </w:tcPr>
          <w:p w14:paraId="3D334487"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Sverige</w:t>
            </w:r>
          </w:p>
        </w:tc>
      </w:tr>
      <w:tr w:rsidR="00A626A8" w:rsidRPr="00A626A8" w14:paraId="47DBB9DF" w14:textId="77777777" w:rsidTr="00CC5819">
        <w:tc>
          <w:tcPr>
            <w:tcW w:w="2689" w:type="dxa"/>
          </w:tcPr>
          <w:p w14:paraId="0234D10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 xml:space="preserve">Kungliga biblioteket 2019a </w:t>
            </w:r>
          </w:p>
          <w:p w14:paraId="3F44A2C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Olsson et al 2019</w:t>
            </w:r>
          </w:p>
          <w:p w14:paraId="4725C24D"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 xml:space="preserve">Openaccess.nl, </w:t>
            </w:r>
            <w:proofErr w:type="spellStart"/>
            <w:r w:rsidRPr="00A626A8">
              <w:rPr>
                <w:rFonts w:asciiTheme="minorHAnsi" w:hAnsiTheme="minorHAnsi" w:cstheme="minorHAnsi"/>
                <w:sz w:val="22"/>
                <w:szCs w:val="22"/>
                <w:lang w:val="en-US"/>
              </w:rPr>
              <w:t>u.å</w:t>
            </w:r>
            <w:proofErr w:type="spellEnd"/>
            <w:r w:rsidRPr="00A626A8">
              <w:rPr>
                <w:rFonts w:asciiTheme="minorHAnsi" w:hAnsiTheme="minorHAnsi" w:cstheme="minorHAnsi"/>
                <w:sz w:val="22"/>
                <w:szCs w:val="22"/>
                <w:lang w:val="en-US"/>
              </w:rPr>
              <w:t>.</w:t>
            </w:r>
          </w:p>
        </w:tc>
        <w:tc>
          <w:tcPr>
            <w:tcW w:w="4961" w:type="dxa"/>
          </w:tcPr>
          <w:p w14:paraId="0E9BE72E"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Nederländernas första LP med Springer</w:t>
            </w:r>
          </w:p>
          <w:p w14:paraId="0E009612"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Publiceringskostnader</w:t>
            </w:r>
          </w:p>
          <w:p w14:paraId="4789F985"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Nya avtal</w:t>
            </w:r>
          </w:p>
          <w:p w14:paraId="13363A0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Svåra att överblicka</w:t>
            </w:r>
          </w:p>
        </w:tc>
        <w:tc>
          <w:tcPr>
            <w:tcW w:w="2410" w:type="dxa"/>
          </w:tcPr>
          <w:p w14:paraId="225C3EA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Nederländerna</w:t>
            </w:r>
          </w:p>
        </w:tc>
      </w:tr>
      <w:tr w:rsidR="00A626A8" w:rsidRPr="00A626A8" w14:paraId="4C803D4B" w14:textId="77777777" w:rsidTr="00CC5819">
        <w:tc>
          <w:tcPr>
            <w:tcW w:w="2689" w:type="dxa"/>
          </w:tcPr>
          <w:p w14:paraId="537684DD" w14:textId="77777777" w:rsidR="00A626A8" w:rsidRPr="00A626A8" w:rsidRDefault="00A626A8" w:rsidP="00CC5819">
            <w:pPr>
              <w:rPr>
                <w:rFonts w:asciiTheme="minorHAnsi" w:hAnsiTheme="minorHAnsi" w:cstheme="minorHAnsi"/>
                <w:noProof/>
                <w:color w:val="000000"/>
                <w:sz w:val="22"/>
                <w:szCs w:val="22"/>
              </w:rPr>
            </w:pPr>
            <w:r w:rsidRPr="00A626A8">
              <w:rPr>
                <w:rFonts w:asciiTheme="minorHAnsi" w:hAnsiTheme="minorHAnsi" w:cstheme="minorHAnsi"/>
                <w:noProof/>
                <w:color w:val="000000"/>
                <w:sz w:val="22"/>
                <w:szCs w:val="22"/>
              </w:rPr>
              <w:t>Anderson et al., 2022</w:t>
            </w:r>
          </w:p>
          <w:p w14:paraId="04D3FED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Kungliga biblioteket 2019a</w:t>
            </w:r>
          </w:p>
          <w:p w14:paraId="53E4F8F7"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Marques &amp; Stone, 2020</w:t>
            </w:r>
          </w:p>
          <w:p w14:paraId="122FFAAB"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Olsson et al 2019</w:t>
            </w:r>
          </w:p>
          <w:p w14:paraId="55B02AEA" w14:textId="77777777" w:rsidR="00A626A8" w:rsidRPr="00A626A8" w:rsidRDefault="00A626A8" w:rsidP="00CC5819">
            <w:pPr>
              <w:rPr>
                <w:rFonts w:asciiTheme="minorHAnsi" w:hAnsiTheme="minorHAnsi" w:cstheme="minorHAnsi"/>
                <w:sz w:val="22"/>
                <w:szCs w:val="22"/>
              </w:rPr>
            </w:pPr>
            <w:proofErr w:type="spellStart"/>
            <w:r w:rsidRPr="00A626A8">
              <w:rPr>
                <w:rFonts w:asciiTheme="minorHAnsi" w:hAnsiTheme="minorHAnsi" w:cstheme="minorHAnsi"/>
                <w:sz w:val="22"/>
                <w:szCs w:val="22"/>
              </w:rPr>
              <w:t>Wise</w:t>
            </w:r>
            <w:proofErr w:type="spellEnd"/>
            <w:r w:rsidRPr="00A626A8">
              <w:rPr>
                <w:rFonts w:asciiTheme="minorHAnsi" w:hAnsiTheme="minorHAnsi" w:cstheme="minorHAnsi"/>
                <w:sz w:val="22"/>
                <w:szCs w:val="22"/>
              </w:rPr>
              <w:t xml:space="preserve"> &amp; Estelle, 2020</w:t>
            </w:r>
          </w:p>
          <w:p w14:paraId="626B4712" w14:textId="77777777" w:rsidR="00A626A8" w:rsidRPr="00A626A8" w:rsidRDefault="00A626A8" w:rsidP="00CC5819">
            <w:pPr>
              <w:rPr>
                <w:rFonts w:asciiTheme="minorHAnsi" w:hAnsiTheme="minorHAnsi" w:cstheme="minorHAnsi"/>
                <w:sz w:val="22"/>
                <w:szCs w:val="22"/>
                <w:lang w:val="en-US"/>
              </w:rPr>
            </w:pPr>
          </w:p>
        </w:tc>
        <w:tc>
          <w:tcPr>
            <w:tcW w:w="4961" w:type="dxa"/>
          </w:tcPr>
          <w:p w14:paraId="4892653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Storbritanniens första LP med Springer</w:t>
            </w:r>
          </w:p>
          <w:p w14:paraId="3342BDF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Komplicerat med uppföljning</w:t>
            </w:r>
          </w:p>
          <w:p w14:paraId="227F4ACF"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Ökning av OA-publiceringar</w:t>
            </w:r>
          </w:p>
          <w:p w14:paraId="0865AE0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Små förlag hakar på TA</w:t>
            </w:r>
          </w:p>
          <w:p w14:paraId="3FD14F27"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Enbart två hybridtidskrifter omvandlades under piloten</w:t>
            </w:r>
          </w:p>
        </w:tc>
        <w:tc>
          <w:tcPr>
            <w:tcW w:w="2410" w:type="dxa"/>
          </w:tcPr>
          <w:p w14:paraId="5BD66F7F"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Storbritannien</w:t>
            </w:r>
          </w:p>
        </w:tc>
      </w:tr>
      <w:tr w:rsidR="00A626A8" w:rsidRPr="00A626A8" w14:paraId="0A80C512" w14:textId="77777777" w:rsidTr="00CC5819">
        <w:tc>
          <w:tcPr>
            <w:tcW w:w="2689" w:type="dxa"/>
          </w:tcPr>
          <w:p w14:paraId="6EBC3E22" w14:textId="77777777" w:rsidR="00A626A8" w:rsidRPr="00A626A8" w:rsidRDefault="00A626A8" w:rsidP="00CC5819">
            <w:pPr>
              <w:rPr>
                <w:rFonts w:asciiTheme="minorHAnsi" w:hAnsiTheme="minorHAnsi" w:cstheme="minorHAnsi"/>
                <w:sz w:val="22"/>
                <w:szCs w:val="22"/>
              </w:rPr>
            </w:pPr>
            <w:proofErr w:type="spellStart"/>
            <w:r w:rsidRPr="00A626A8">
              <w:rPr>
                <w:rFonts w:asciiTheme="minorHAnsi" w:hAnsiTheme="minorHAnsi" w:cstheme="minorHAnsi"/>
                <w:sz w:val="22"/>
                <w:szCs w:val="22"/>
              </w:rPr>
              <w:t>Borrego</w:t>
            </w:r>
            <w:proofErr w:type="spellEnd"/>
            <w:r w:rsidRPr="00A626A8">
              <w:rPr>
                <w:rFonts w:asciiTheme="minorHAnsi" w:hAnsiTheme="minorHAnsi" w:cstheme="minorHAnsi"/>
                <w:sz w:val="22"/>
                <w:szCs w:val="22"/>
              </w:rPr>
              <w:t xml:space="preserve"> et al., 2021</w:t>
            </w:r>
          </w:p>
          <w:p w14:paraId="46A8A107"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Huffman, 2022</w:t>
            </w:r>
          </w:p>
          <w:p w14:paraId="4E365AFD" w14:textId="77777777" w:rsidR="00A626A8" w:rsidRPr="00A626A8" w:rsidRDefault="00A626A8" w:rsidP="00CC5819">
            <w:pPr>
              <w:rPr>
                <w:rFonts w:asciiTheme="minorHAnsi" w:hAnsiTheme="minorHAnsi" w:cstheme="minorHAnsi"/>
                <w:sz w:val="22"/>
                <w:szCs w:val="22"/>
              </w:rPr>
            </w:pPr>
            <w:proofErr w:type="spellStart"/>
            <w:r w:rsidRPr="00A626A8">
              <w:rPr>
                <w:rFonts w:asciiTheme="minorHAnsi" w:hAnsiTheme="minorHAnsi" w:cstheme="minorHAnsi"/>
                <w:sz w:val="22"/>
                <w:szCs w:val="22"/>
              </w:rPr>
              <w:t>Inchcoombe</w:t>
            </w:r>
            <w:proofErr w:type="spellEnd"/>
            <w:r w:rsidRPr="00A626A8">
              <w:rPr>
                <w:rFonts w:asciiTheme="minorHAnsi" w:hAnsiTheme="minorHAnsi" w:cstheme="minorHAnsi"/>
                <w:sz w:val="22"/>
                <w:szCs w:val="22"/>
              </w:rPr>
              <w:t xml:space="preserve"> et al. 2022</w:t>
            </w:r>
          </w:p>
          <w:p w14:paraId="164D86C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Kungliga biblioteket 2019a</w:t>
            </w:r>
          </w:p>
          <w:p w14:paraId="37379B11" w14:textId="77777777" w:rsidR="00A626A8" w:rsidRPr="00A626A8" w:rsidRDefault="00A626A8" w:rsidP="00CC5819">
            <w:pPr>
              <w:rPr>
                <w:rFonts w:asciiTheme="minorHAnsi" w:hAnsiTheme="minorHAnsi" w:cstheme="minorHAnsi"/>
                <w:sz w:val="22"/>
                <w:szCs w:val="22"/>
              </w:rPr>
            </w:pPr>
            <w:proofErr w:type="spellStart"/>
            <w:r w:rsidRPr="00A626A8">
              <w:rPr>
                <w:rFonts w:asciiTheme="minorHAnsi" w:hAnsiTheme="minorHAnsi" w:cstheme="minorHAnsi"/>
                <w:sz w:val="22"/>
                <w:szCs w:val="22"/>
              </w:rPr>
              <w:t>Moskovkin</w:t>
            </w:r>
            <w:proofErr w:type="spellEnd"/>
            <w:r w:rsidRPr="00A626A8">
              <w:rPr>
                <w:rFonts w:asciiTheme="minorHAnsi" w:hAnsiTheme="minorHAnsi" w:cstheme="minorHAnsi"/>
                <w:sz w:val="22"/>
                <w:szCs w:val="22"/>
              </w:rPr>
              <w:t xml:space="preserve"> et al., 2022</w:t>
            </w:r>
          </w:p>
          <w:p w14:paraId="6B44A5C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Olsson et al 2019</w:t>
            </w:r>
          </w:p>
          <w:p w14:paraId="4399A661"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Rita et al., 2021</w:t>
            </w:r>
          </w:p>
          <w:p w14:paraId="7890A948" w14:textId="77777777" w:rsidR="00A626A8" w:rsidRPr="00A626A8" w:rsidRDefault="00A626A8" w:rsidP="00CC5819">
            <w:pPr>
              <w:rPr>
                <w:rFonts w:asciiTheme="minorHAnsi" w:hAnsiTheme="minorHAnsi" w:cstheme="minorHAnsi"/>
                <w:sz w:val="22"/>
                <w:szCs w:val="22"/>
                <w:lang w:val="en-US"/>
              </w:rPr>
            </w:pPr>
          </w:p>
        </w:tc>
        <w:tc>
          <w:tcPr>
            <w:tcW w:w="4961" w:type="dxa"/>
          </w:tcPr>
          <w:p w14:paraId="60BB2B6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TA mer transparenta</w:t>
            </w:r>
          </w:p>
          <w:p w14:paraId="077C551A"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Författare behåller upphovsrätt</w:t>
            </w:r>
          </w:p>
          <w:p w14:paraId="47D97BA5"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Smidigare publiceringsprocess</w:t>
            </w:r>
          </w:p>
          <w:p w14:paraId="7D69416E"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Ger förhandlingserfarenhet till bibliotekarie</w:t>
            </w:r>
          </w:p>
          <w:p w14:paraId="4A0006A8"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Ökning av OA-publiceringar</w:t>
            </w:r>
          </w:p>
          <w:p w14:paraId="7E0C31DF"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Hållbara affärer</w:t>
            </w:r>
          </w:p>
          <w:p w14:paraId="34E225D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Förändrar publiceringslandskapet</w:t>
            </w:r>
          </w:p>
          <w:p w14:paraId="62D3277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Fler får åtkomst till OA</w:t>
            </w:r>
          </w:p>
          <w:p w14:paraId="599EB396"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Ökning av OA inom ämnen med låg OA-publicering</w:t>
            </w:r>
          </w:p>
          <w:p w14:paraId="385C5EC7"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Kostnadseffektivt</w:t>
            </w:r>
          </w:p>
          <w:p w14:paraId="4AACD79A"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Minskad administration</w:t>
            </w:r>
          </w:p>
          <w:p w14:paraId="63D80A95"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TA användbart verktyg för att nå OA</w:t>
            </w:r>
          </w:p>
        </w:tc>
        <w:tc>
          <w:tcPr>
            <w:tcW w:w="2410" w:type="dxa"/>
          </w:tcPr>
          <w:p w14:paraId="721AD596"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Positiva erfarenheter och förhoppningar</w:t>
            </w:r>
          </w:p>
        </w:tc>
      </w:tr>
      <w:tr w:rsidR="00A626A8" w:rsidRPr="00A626A8" w14:paraId="08120651" w14:textId="77777777" w:rsidTr="00CC5819">
        <w:tc>
          <w:tcPr>
            <w:tcW w:w="2689" w:type="dxa"/>
          </w:tcPr>
          <w:p w14:paraId="0914F47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Anders et al., 2021</w:t>
            </w:r>
          </w:p>
          <w:p w14:paraId="03F36A87"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noProof/>
                <w:color w:val="000000"/>
                <w:sz w:val="22"/>
                <w:szCs w:val="22"/>
              </w:rPr>
              <w:t>Bansode &amp; Pujar, 2022</w:t>
            </w:r>
          </w:p>
          <w:p w14:paraId="2C4A62BC"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 xml:space="preserve">Borrego et al., 2021 </w:t>
            </w:r>
          </w:p>
          <w:p w14:paraId="3CBA87C9"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Cooper &amp; Rieger, 2021</w:t>
            </w:r>
          </w:p>
          <w:p w14:paraId="5AF7FA6B"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Farley et al., 2021</w:t>
            </w:r>
          </w:p>
          <w:p w14:paraId="764EB0E3" w14:textId="77777777" w:rsidR="00A626A8" w:rsidRPr="00A626A8" w:rsidRDefault="00A626A8" w:rsidP="00CC5819">
            <w:pPr>
              <w:rPr>
                <w:rFonts w:asciiTheme="minorHAnsi" w:hAnsiTheme="minorHAnsi" w:cstheme="minorHAnsi"/>
                <w:sz w:val="22"/>
                <w:szCs w:val="22"/>
                <w:lang w:val="en-US"/>
              </w:rPr>
            </w:pPr>
            <w:proofErr w:type="spellStart"/>
            <w:r w:rsidRPr="00A626A8">
              <w:rPr>
                <w:rFonts w:asciiTheme="minorHAnsi" w:hAnsiTheme="minorHAnsi" w:cstheme="minorHAnsi"/>
                <w:sz w:val="22"/>
                <w:szCs w:val="22"/>
                <w:lang w:val="en-US"/>
              </w:rPr>
              <w:t>Inchcoombe</w:t>
            </w:r>
            <w:proofErr w:type="spellEnd"/>
            <w:r w:rsidRPr="00A626A8">
              <w:rPr>
                <w:rFonts w:asciiTheme="minorHAnsi" w:hAnsiTheme="minorHAnsi" w:cstheme="minorHAnsi"/>
                <w:sz w:val="22"/>
                <w:szCs w:val="22"/>
                <w:lang w:val="en-US"/>
              </w:rPr>
              <w:t xml:space="preserve"> et al. 2022</w:t>
            </w:r>
          </w:p>
          <w:p w14:paraId="43E4E262"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Jahn et al., 2022</w:t>
            </w:r>
          </w:p>
          <w:p w14:paraId="3ECDB56C"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Kungliga biblioteket 2019a</w:t>
            </w:r>
          </w:p>
          <w:p w14:paraId="74B5D8AE" w14:textId="77777777" w:rsidR="00A626A8" w:rsidRPr="00A626A8" w:rsidRDefault="00A626A8" w:rsidP="00CC5819">
            <w:pPr>
              <w:rPr>
                <w:rFonts w:asciiTheme="minorHAnsi" w:hAnsiTheme="minorHAnsi" w:cstheme="minorHAnsi"/>
                <w:sz w:val="22"/>
                <w:szCs w:val="22"/>
              </w:rPr>
            </w:pPr>
            <w:proofErr w:type="spellStart"/>
            <w:r w:rsidRPr="00A626A8">
              <w:rPr>
                <w:rFonts w:asciiTheme="minorHAnsi" w:hAnsiTheme="minorHAnsi" w:cstheme="minorHAnsi"/>
                <w:sz w:val="22"/>
                <w:szCs w:val="22"/>
              </w:rPr>
              <w:t>Meagher</w:t>
            </w:r>
            <w:proofErr w:type="spellEnd"/>
            <w:r w:rsidRPr="00A626A8">
              <w:rPr>
                <w:rFonts w:asciiTheme="minorHAnsi" w:hAnsiTheme="minorHAnsi" w:cstheme="minorHAnsi"/>
                <w:sz w:val="22"/>
                <w:szCs w:val="22"/>
              </w:rPr>
              <w:t>, 2021</w:t>
            </w:r>
          </w:p>
          <w:p w14:paraId="7F46935A" w14:textId="77777777" w:rsidR="00A626A8" w:rsidRPr="00A626A8" w:rsidRDefault="00A626A8" w:rsidP="00CC5819">
            <w:pPr>
              <w:rPr>
                <w:rFonts w:asciiTheme="minorHAnsi" w:hAnsiTheme="minorHAnsi" w:cstheme="minorHAnsi"/>
                <w:sz w:val="22"/>
                <w:szCs w:val="22"/>
                <w:lang w:val="en-US"/>
              </w:rPr>
            </w:pPr>
            <w:r w:rsidRPr="00A626A8">
              <w:rPr>
                <w:rFonts w:asciiTheme="minorHAnsi" w:hAnsiTheme="minorHAnsi" w:cstheme="minorHAnsi"/>
                <w:sz w:val="22"/>
                <w:szCs w:val="22"/>
                <w:lang w:val="en-US"/>
              </w:rPr>
              <w:t>Rita et al., 2021</w:t>
            </w:r>
          </w:p>
          <w:p w14:paraId="518FE58C" w14:textId="77777777" w:rsidR="00A626A8" w:rsidRPr="00A626A8" w:rsidRDefault="00A626A8" w:rsidP="00CC5819">
            <w:pPr>
              <w:rPr>
                <w:rFonts w:asciiTheme="minorHAnsi" w:hAnsiTheme="minorHAnsi" w:cstheme="minorHAnsi"/>
                <w:sz w:val="22"/>
                <w:szCs w:val="22"/>
              </w:rPr>
            </w:pPr>
          </w:p>
        </w:tc>
        <w:tc>
          <w:tcPr>
            <w:tcW w:w="4961" w:type="dxa"/>
          </w:tcPr>
          <w:p w14:paraId="1865FD76"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 xml:space="preserve">Risk för minskad kvalité när högkvalitativa tidskrifter inte är centrala </w:t>
            </w:r>
          </w:p>
          <w:p w14:paraId="1BB943E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Minskad åtkomst till traditionella tidskrifter</w:t>
            </w:r>
          </w:p>
          <w:p w14:paraId="2D6FAD72"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I förhandlingar skiftas vilken data det fokuseras på</w:t>
            </w:r>
          </w:p>
          <w:p w14:paraId="305DB9CB"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Kostnadsbörda för publiceringsstarka institutioner</w:t>
            </w:r>
          </w:p>
          <w:p w14:paraId="16AD703F"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Fripassagerare som utnyttjar systemet</w:t>
            </w:r>
          </w:p>
          <w:p w14:paraId="16B7F004"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Oklart om transparens ökar</w:t>
            </w:r>
          </w:p>
          <w:p w14:paraId="297F75B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Forskare omedvetna om kostnader</w:t>
            </w:r>
          </w:p>
          <w:p w14:paraId="19D4948D"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Hybridtidskrifter: svåra att avveckla, konkurrerar med OA-tidskrifter, bristande transparens</w:t>
            </w:r>
          </w:p>
          <w:p w14:paraId="0B53A43E"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Oklart om TA förändrar marknaden</w:t>
            </w:r>
          </w:p>
          <w:p w14:paraId="22D088C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De största förlagen behåller makt</w:t>
            </w:r>
          </w:p>
          <w:p w14:paraId="351C4B94"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Komplicerat att granska avtal</w:t>
            </w:r>
          </w:p>
          <w:p w14:paraId="198C4E53"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Svårt att omvandla högkvalitativa tidskrifter</w:t>
            </w:r>
          </w:p>
        </w:tc>
        <w:tc>
          <w:tcPr>
            <w:tcW w:w="2410" w:type="dxa"/>
          </w:tcPr>
          <w:p w14:paraId="36A58CA9" w14:textId="77777777" w:rsidR="00A626A8" w:rsidRPr="00A626A8" w:rsidRDefault="00A626A8" w:rsidP="00CC5819">
            <w:pPr>
              <w:rPr>
                <w:rFonts w:asciiTheme="minorHAnsi" w:hAnsiTheme="minorHAnsi" w:cstheme="minorHAnsi"/>
                <w:sz w:val="22"/>
                <w:szCs w:val="22"/>
              </w:rPr>
            </w:pPr>
            <w:r w:rsidRPr="00A626A8">
              <w:rPr>
                <w:rFonts w:asciiTheme="minorHAnsi" w:hAnsiTheme="minorHAnsi" w:cstheme="minorHAnsi"/>
                <w:sz w:val="22"/>
                <w:szCs w:val="22"/>
              </w:rPr>
              <w:t>Negativa erfarenheter och farhågor</w:t>
            </w:r>
          </w:p>
        </w:tc>
      </w:tr>
    </w:tbl>
    <w:p w14:paraId="2907A3C2" w14:textId="77777777" w:rsidR="00A626A8" w:rsidRPr="00A626A8" w:rsidRDefault="00A626A8">
      <w:pPr>
        <w:rPr>
          <w:lang w:val="en-US"/>
        </w:rPr>
      </w:pPr>
    </w:p>
    <w:sectPr w:rsidR="00A626A8" w:rsidRPr="00A626A8" w:rsidSect="00AC13F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B4D5" w14:textId="77777777" w:rsidR="006E2141" w:rsidRDefault="006E2141" w:rsidP="00A626A8">
      <w:r>
        <w:separator/>
      </w:r>
    </w:p>
  </w:endnote>
  <w:endnote w:type="continuationSeparator" w:id="0">
    <w:p w14:paraId="4AA5B346" w14:textId="77777777" w:rsidR="006E2141" w:rsidRDefault="006E2141" w:rsidP="00A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8EFA" w14:textId="77777777" w:rsidR="006E2141" w:rsidRDefault="006E2141" w:rsidP="00A626A8">
      <w:r>
        <w:separator/>
      </w:r>
    </w:p>
  </w:footnote>
  <w:footnote w:type="continuationSeparator" w:id="0">
    <w:p w14:paraId="6C0A148B" w14:textId="77777777" w:rsidR="006E2141" w:rsidRDefault="006E2141" w:rsidP="00A626A8">
      <w:r>
        <w:continuationSeparator/>
      </w:r>
    </w:p>
  </w:footnote>
  <w:footnote w:id="1">
    <w:p w14:paraId="14740B3B" w14:textId="77777777" w:rsidR="00A626A8" w:rsidRPr="00511534" w:rsidRDefault="00A626A8" w:rsidP="00511534">
      <w:pPr>
        <w:autoSpaceDE w:val="0"/>
        <w:autoSpaceDN w:val="0"/>
        <w:adjustRightInd w:val="0"/>
        <w:ind w:left="720" w:right="-720" w:hanging="720"/>
        <w:rPr>
          <w:rFonts w:ascii="Helvetica Neue" w:eastAsiaTheme="minorHAnsi" w:hAnsi="Helvetica Neue" w:cs="Helvetica Neue"/>
          <w:sz w:val="16"/>
          <w:szCs w:val="16"/>
          <w:lang w:val="en-US" w:eastAsia="en-US"/>
        </w:rPr>
      </w:pPr>
      <w:r>
        <w:rPr>
          <w:rStyle w:val="Fotnotsreferens"/>
        </w:rPr>
        <w:footnoteRef/>
      </w:r>
      <w:r w:rsidRPr="00113366">
        <w:rPr>
          <w:lang w:val="en-US"/>
        </w:rPr>
        <w:t xml:space="preserve"> </w:t>
      </w:r>
      <w:proofErr w:type="spellStart"/>
      <w:r w:rsidRPr="00751963">
        <w:rPr>
          <w:rFonts w:ascii="Helvetica Neue" w:eastAsiaTheme="minorHAnsi" w:hAnsi="Helvetica Neue" w:cs="Helvetica Neue"/>
          <w:sz w:val="16"/>
          <w:szCs w:val="16"/>
          <w:lang w:val="en-US" w:eastAsia="en-US"/>
        </w:rPr>
        <w:t>Capaccioni</w:t>
      </w:r>
      <w:proofErr w:type="spellEnd"/>
      <w:r w:rsidRPr="00751963">
        <w:rPr>
          <w:rFonts w:ascii="Helvetica Neue" w:eastAsiaTheme="minorHAnsi" w:hAnsi="Helvetica Neue" w:cs="Helvetica Neue"/>
          <w:sz w:val="16"/>
          <w:szCs w:val="16"/>
          <w:lang w:val="en-US" w:eastAsia="en-US"/>
        </w:rPr>
        <w:t xml:space="preserve">, A. (2021). Beyond the subscriptions. What are transformative agreements. </w:t>
      </w:r>
      <w:proofErr w:type="gramStart"/>
      <w:r w:rsidRPr="00751963">
        <w:rPr>
          <w:rFonts w:ascii="Helvetica Neue" w:eastAsiaTheme="minorHAnsi" w:hAnsi="Helvetica Neue" w:cs="Helvetica Neue"/>
          <w:i/>
          <w:iCs/>
          <w:sz w:val="16"/>
          <w:szCs w:val="16"/>
          <w:lang w:val="en-US" w:eastAsia="en-US"/>
        </w:rPr>
        <w:t>JLIS.it :</w:t>
      </w:r>
      <w:proofErr w:type="gramEnd"/>
      <w:r w:rsidRPr="00751963">
        <w:rPr>
          <w:rFonts w:ascii="Helvetica Neue" w:eastAsiaTheme="minorHAnsi" w:hAnsi="Helvetica Neue" w:cs="Helvetica Neue"/>
          <w:i/>
          <w:iCs/>
          <w:sz w:val="16"/>
          <w:szCs w:val="16"/>
          <w:lang w:val="en-US" w:eastAsia="en-US"/>
        </w:rPr>
        <w:t xml:space="preserve"> Italian journal of library and information</w:t>
      </w:r>
      <w:r>
        <w:rPr>
          <w:rFonts w:ascii="Helvetica Neue" w:eastAsiaTheme="minorHAnsi" w:hAnsi="Helvetica Neue" w:cs="Helvetica Neue"/>
          <w:i/>
          <w:iCs/>
          <w:sz w:val="16"/>
          <w:szCs w:val="16"/>
          <w:lang w:val="en-US" w:eastAsia="en-US"/>
        </w:rPr>
        <w:t xml:space="preserve"> </w:t>
      </w:r>
      <w:r w:rsidRPr="00751963">
        <w:rPr>
          <w:rFonts w:ascii="Helvetica Neue" w:eastAsiaTheme="minorHAnsi" w:hAnsi="Helvetica Neue" w:cs="Helvetica Neue"/>
          <w:i/>
          <w:iCs/>
          <w:sz w:val="16"/>
          <w:szCs w:val="16"/>
          <w:lang w:val="en-US" w:eastAsia="en-US"/>
        </w:rPr>
        <w:t>science</w:t>
      </w:r>
      <w:r w:rsidRPr="00751963">
        <w:rPr>
          <w:rFonts w:ascii="Helvetica Neue" w:eastAsiaTheme="minorHAnsi" w:hAnsi="Helvetica Neue" w:cs="Helvetica Neue"/>
          <w:sz w:val="16"/>
          <w:szCs w:val="16"/>
          <w:lang w:val="en-US" w:eastAsia="en-US"/>
        </w:rPr>
        <w:t>,</w:t>
      </w:r>
      <w:r w:rsidRPr="00751963">
        <w:rPr>
          <w:rFonts w:ascii="Helvetica Neue" w:eastAsiaTheme="minorHAnsi" w:hAnsi="Helvetica Neue" w:cs="Helvetica Neue"/>
          <w:i/>
          <w:iCs/>
          <w:sz w:val="16"/>
          <w:szCs w:val="16"/>
          <w:lang w:val="en-US" w:eastAsia="en-US"/>
        </w:rPr>
        <w:t xml:space="preserve"> 12</w:t>
      </w:r>
      <w:r w:rsidRPr="00751963">
        <w:rPr>
          <w:rFonts w:ascii="Helvetica Neue" w:eastAsiaTheme="minorHAnsi" w:hAnsi="Helvetica Neue" w:cs="Helvetica Neue"/>
          <w:sz w:val="16"/>
          <w:szCs w:val="16"/>
          <w:lang w:val="en-US" w:eastAsia="en-US"/>
        </w:rPr>
        <w:t xml:space="preserve">(1), 47-53. </w:t>
      </w:r>
      <w:proofErr w:type="spellStart"/>
      <w:r>
        <w:rPr>
          <w:rFonts w:ascii="Helvetica Neue" w:eastAsiaTheme="minorHAnsi" w:hAnsi="Helvetica Neue" w:cs="Helvetica Neue"/>
          <w:sz w:val="16"/>
          <w:szCs w:val="16"/>
          <w:lang w:val="en-US" w:eastAsia="en-US"/>
        </w:rPr>
        <w:t>och</w:t>
      </w:r>
      <w:proofErr w:type="spellEnd"/>
      <w:r>
        <w:rPr>
          <w:rFonts w:ascii="Helvetica Neue" w:eastAsiaTheme="minorHAnsi" w:hAnsi="Helvetica Neue" w:cs="Helvetica Neue"/>
          <w:sz w:val="16"/>
          <w:szCs w:val="16"/>
          <w:lang w:val="en-US" w:eastAsia="en-US"/>
        </w:rPr>
        <w:t xml:space="preserve"> </w:t>
      </w:r>
      <w:r w:rsidRPr="00751963">
        <w:rPr>
          <w:rFonts w:ascii="Helvetica Neue" w:eastAsiaTheme="minorHAnsi" w:hAnsi="Helvetica Neue" w:cs="Helvetica Neue"/>
          <w:sz w:val="16"/>
          <w:szCs w:val="16"/>
          <w:lang w:val="en-US" w:eastAsia="en-US"/>
        </w:rPr>
        <w:t>Li, C.</w:t>
      </w:r>
      <w:r w:rsidRPr="00751963">
        <w:rPr>
          <w:rFonts w:ascii="Helvetica Neue" w:eastAsiaTheme="minorHAnsi" w:hAnsi="Helvetica Neue" w:cs="Helvetica Neue"/>
          <w:sz w:val="28"/>
          <w:szCs w:val="28"/>
          <w:lang w:val="en-US" w:eastAsia="en-US"/>
        </w:rPr>
        <w:t xml:space="preserve"> </w:t>
      </w:r>
      <w:r w:rsidRPr="00751963">
        <w:rPr>
          <w:rFonts w:ascii="Helvetica Neue" w:eastAsiaTheme="minorHAnsi" w:hAnsi="Helvetica Neue" w:cs="Helvetica Neue"/>
          <w:sz w:val="16"/>
          <w:szCs w:val="16"/>
          <w:lang w:val="en-US" w:eastAsia="en-US"/>
        </w:rPr>
        <w:t xml:space="preserve">N., &amp; Lin, M. L. (2021). Transformative Agreement: An Exploratory Study of Journal License Agreements. </w:t>
      </w:r>
      <w:r w:rsidRPr="00751963">
        <w:rPr>
          <w:rFonts w:ascii="Helvetica Neue" w:eastAsiaTheme="minorHAnsi" w:hAnsi="Helvetica Neue" w:cs="Helvetica Neue"/>
          <w:i/>
          <w:iCs/>
          <w:sz w:val="16"/>
          <w:szCs w:val="16"/>
          <w:lang w:val="en-US" w:eastAsia="en-US"/>
        </w:rPr>
        <w:t>Journal of Educational Media and Library Sciences</w:t>
      </w:r>
      <w:r w:rsidRPr="00751963">
        <w:rPr>
          <w:rFonts w:ascii="Helvetica Neue" w:eastAsiaTheme="minorHAnsi" w:hAnsi="Helvetica Neue" w:cs="Helvetica Neue"/>
          <w:sz w:val="16"/>
          <w:szCs w:val="16"/>
          <w:lang w:val="en-US" w:eastAsia="en-US"/>
        </w:rPr>
        <w:t>,</w:t>
      </w:r>
      <w:r w:rsidRPr="00751963">
        <w:rPr>
          <w:rFonts w:ascii="Helvetica Neue" w:eastAsiaTheme="minorHAnsi" w:hAnsi="Helvetica Neue" w:cs="Helvetica Neue"/>
          <w:i/>
          <w:iCs/>
          <w:sz w:val="16"/>
          <w:szCs w:val="16"/>
          <w:lang w:val="en-US" w:eastAsia="en-US"/>
        </w:rPr>
        <w:t xml:space="preserve"> 58</w:t>
      </w:r>
      <w:r w:rsidRPr="00751963">
        <w:rPr>
          <w:rFonts w:ascii="Helvetica Neue" w:eastAsiaTheme="minorHAnsi" w:hAnsi="Helvetica Neue" w:cs="Helvetica Neue"/>
          <w:sz w:val="16"/>
          <w:szCs w:val="16"/>
          <w:lang w:val="en-US" w:eastAsia="en-US"/>
        </w:rPr>
        <w:t>(1), 123-150.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AF4"/>
    <w:multiLevelType w:val="multilevel"/>
    <w:tmpl w:val="B12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C407D"/>
    <w:multiLevelType w:val="multilevel"/>
    <w:tmpl w:val="9A9A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04B66"/>
    <w:multiLevelType w:val="multilevel"/>
    <w:tmpl w:val="B664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34386"/>
    <w:multiLevelType w:val="multilevel"/>
    <w:tmpl w:val="61F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C172A"/>
    <w:multiLevelType w:val="multilevel"/>
    <w:tmpl w:val="B95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012909">
    <w:abstractNumId w:val="1"/>
  </w:num>
  <w:num w:numId="2" w16cid:durableId="886910874">
    <w:abstractNumId w:val="4"/>
  </w:num>
  <w:num w:numId="3" w16cid:durableId="1452553262">
    <w:abstractNumId w:val="3"/>
  </w:num>
  <w:num w:numId="4" w16cid:durableId="284044394">
    <w:abstractNumId w:val="2"/>
  </w:num>
  <w:num w:numId="5" w16cid:durableId="22885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A626A8"/>
    <w:rsid w:val="00001FFD"/>
    <w:rsid w:val="00005120"/>
    <w:rsid w:val="0001046A"/>
    <w:rsid w:val="00013130"/>
    <w:rsid w:val="00020713"/>
    <w:rsid w:val="0002732D"/>
    <w:rsid w:val="00037A19"/>
    <w:rsid w:val="00042027"/>
    <w:rsid w:val="00046231"/>
    <w:rsid w:val="00050DF3"/>
    <w:rsid w:val="00062F2D"/>
    <w:rsid w:val="000858CF"/>
    <w:rsid w:val="00095680"/>
    <w:rsid w:val="00097ECF"/>
    <w:rsid w:val="000A0FD3"/>
    <w:rsid w:val="000A15BD"/>
    <w:rsid w:val="000A264A"/>
    <w:rsid w:val="000A6FEE"/>
    <w:rsid w:val="000B01C7"/>
    <w:rsid w:val="000B5E09"/>
    <w:rsid w:val="000C229E"/>
    <w:rsid w:val="000D1FDA"/>
    <w:rsid w:val="000D4DF9"/>
    <w:rsid w:val="000F38E0"/>
    <w:rsid w:val="000F7460"/>
    <w:rsid w:val="00120553"/>
    <w:rsid w:val="0012060B"/>
    <w:rsid w:val="00125510"/>
    <w:rsid w:val="00127EC9"/>
    <w:rsid w:val="0014153B"/>
    <w:rsid w:val="00143F74"/>
    <w:rsid w:val="00152526"/>
    <w:rsid w:val="001535D2"/>
    <w:rsid w:val="0015440F"/>
    <w:rsid w:val="001566C0"/>
    <w:rsid w:val="00170907"/>
    <w:rsid w:val="0017228A"/>
    <w:rsid w:val="00175927"/>
    <w:rsid w:val="001924CE"/>
    <w:rsid w:val="001A26E5"/>
    <w:rsid w:val="001B71EA"/>
    <w:rsid w:val="001C041F"/>
    <w:rsid w:val="001C0AC8"/>
    <w:rsid w:val="001C2237"/>
    <w:rsid w:val="001C6343"/>
    <w:rsid w:val="001C68CD"/>
    <w:rsid w:val="001C785C"/>
    <w:rsid w:val="001D25ED"/>
    <w:rsid w:val="001D27C5"/>
    <w:rsid w:val="001E6D55"/>
    <w:rsid w:val="001F3E6F"/>
    <w:rsid w:val="00206CBA"/>
    <w:rsid w:val="0021366F"/>
    <w:rsid w:val="00224313"/>
    <w:rsid w:val="00226EF4"/>
    <w:rsid w:val="002302C4"/>
    <w:rsid w:val="002306C4"/>
    <w:rsid w:val="002326C5"/>
    <w:rsid w:val="002334EB"/>
    <w:rsid w:val="00233F0B"/>
    <w:rsid w:val="0023476E"/>
    <w:rsid w:val="002364B2"/>
    <w:rsid w:val="00237E44"/>
    <w:rsid w:val="002400D9"/>
    <w:rsid w:val="0024128C"/>
    <w:rsid w:val="00241DAA"/>
    <w:rsid w:val="00245943"/>
    <w:rsid w:val="002508FC"/>
    <w:rsid w:val="00251937"/>
    <w:rsid w:val="0025382E"/>
    <w:rsid w:val="002571A7"/>
    <w:rsid w:val="00267177"/>
    <w:rsid w:val="00270658"/>
    <w:rsid w:val="00272CDA"/>
    <w:rsid w:val="00280C1C"/>
    <w:rsid w:val="00287087"/>
    <w:rsid w:val="002A00FC"/>
    <w:rsid w:val="002A4118"/>
    <w:rsid w:val="002B16EF"/>
    <w:rsid w:val="002C2F04"/>
    <w:rsid w:val="002C355E"/>
    <w:rsid w:val="002E70B4"/>
    <w:rsid w:val="002F1A56"/>
    <w:rsid w:val="002F3435"/>
    <w:rsid w:val="002F4545"/>
    <w:rsid w:val="002F77E3"/>
    <w:rsid w:val="003100E8"/>
    <w:rsid w:val="00311307"/>
    <w:rsid w:val="00314B74"/>
    <w:rsid w:val="00315606"/>
    <w:rsid w:val="00323B3A"/>
    <w:rsid w:val="00323CE0"/>
    <w:rsid w:val="0032414D"/>
    <w:rsid w:val="0032545E"/>
    <w:rsid w:val="00333A26"/>
    <w:rsid w:val="0033798B"/>
    <w:rsid w:val="00341580"/>
    <w:rsid w:val="00364F5B"/>
    <w:rsid w:val="003665AA"/>
    <w:rsid w:val="003702D2"/>
    <w:rsid w:val="00371FF8"/>
    <w:rsid w:val="00372436"/>
    <w:rsid w:val="0037340F"/>
    <w:rsid w:val="00387084"/>
    <w:rsid w:val="003926B1"/>
    <w:rsid w:val="003A695B"/>
    <w:rsid w:val="003B0462"/>
    <w:rsid w:val="003B4667"/>
    <w:rsid w:val="003B5D10"/>
    <w:rsid w:val="003B7195"/>
    <w:rsid w:val="003C3A5E"/>
    <w:rsid w:val="003D0182"/>
    <w:rsid w:val="003D4993"/>
    <w:rsid w:val="003E250D"/>
    <w:rsid w:val="003F266A"/>
    <w:rsid w:val="003F783F"/>
    <w:rsid w:val="00415326"/>
    <w:rsid w:val="004311B0"/>
    <w:rsid w:val="00446D0C"/>
    <w:rsid w:val="00451E73"/>
    <w:rsid w:val="00454B01"/>
    <w:rsid w:val="004603F2"/>
    <w:rsid w:val="0046534F"/>
    <w:rsid w:val="00470D44"/>
    <w:rsid w:val="00470EFB"/>
    <w:rsid w:val="0047597A"/>
    <w:rsid w:val="00481C1A"/>
    <w:rsid w:val="00482EB6"/>
    <w:rsid w:val="004847BE"/>
    <w:rsid w:val="00487249"/>
    <w:rsid w:val="004934FA"/>
    <w:rsid w:val="00493B7B"/>
    <w:rsid w:val="004943F5"/>
    <w:rsid w:val="004A3917"/>
    <w:rsid w:val="004B6169"/>
    <w:rsid w:val="004B6752"/>
    <w:rsid w:val="004C29CB"/>
    <w:rsid w:val="004C59AB"/>
    <w:rsid w:val="004D3C5C"/>
    <w:rsid w:val="004E25A2"/>
    <w:rsid w:val="004E644A"/>
    <w:rsid w:val="004E65F4"/>
    <w:rsid w:val="004E6D16"/>
    <w:rsid w:val="004F23C2"/>
    <w:rsid w:val="00500511"/>
    <w:rsid w:val="00501A7E"/>
    <w:rsid w:val="005070E8"/>
    <w:rsid w:val="00511F55"/>
    <w:rsid w:val="00514FF7"/>
    <w:rsid w:val="00521006"/>
    <w:rsid w:val="00521EED"/>
    <w:rsid w:val="00523597"/>
    <w:rsid w:val="005249B5"/>
    <w:rsid w:val="00533E7A"/>
    <w:rsid w:val="0053718C"/>
    <w:rsid w:val="0053777C"/>
    <w:rsid w:val="00540571"/>
    <w:rsid w:val="00546FA0"/>
    <w:rsid w:val="00550B17"/>
    <w:rsid w:val="005519B3"/>
    <w:rsid w:val="005528DF"/>
    <w:rsid w:val="00552F68"/>
    <w:rsid w:val="00576FEF"/>
    <w:rsid w:val="00581DAE"/>
    <w:rsid w:val="00581DD1"/>
    <w:rsid w:val="005841E2"/>
    <w:rsid w:val="00596DF0"/>
    <w:rsid w:val="005A1117"/>
    <w:rsid w:val="005A4E25"/>
    <w:rsid w:val="005B24D2"/>
    <w:rsid w:val="005C4F6C"/>
    <w:rsid w:val="005D004F"/>
    <w:rsid w:val="005D2675"/>
    <w:rsid w:val="005D273A"/>
    <w:rsid w:val="005D6886"/>
    <w:rsid w:val="005E01EC"/>
    <w:rsid w:val="005E1DE6"/>
    <w:rsid w:val="005E4262"/>
    <w:rsid w:val="00603BAF"/>
    <w:rsid w:val="00605FD2"/>
    <w:rsid w:val="006075BF"/>
    <w:rsid w:val="00614C13"/>
    <w:rsid w:val="00617C55"/>
    <w:rsid w:val="00620A66"/>
    <w:rsid w:val="0063072B"/>
    <w:rsid w:val="00632F81"/>
    <w:rsid w:val="00633348"/>
    <w:rsid w:val="00636323"/>
    <w:rsid w:val="006367A0"/>
    <w:rsid w:val="00642E70"/>
    <w:rsid w:val="00643A3D"/>
    <w:rsid w:val="00653399"/>
    <w:rsid w:val="00654AE5"/>
    <w:rsid w:val="00655B22"/>
    <w:rsid w:val="00660DAB"/>
    <w:rsid w:val="0066315A"/>
    <w:rsid w:val="006646E3"/>
    <w:rsid w:val="00676A4A"/>
    <w:rsid w:val="00686AE4"/>
    <w:rsid w:val="00694DDA"/>
    <w:rsid w:val="0069722B"/>
    <w:rsid w:val="006975E3"/>
    <w:rsid w:val="00697AA3"/>
    <w:rsid w:val="006A2151"/>
    <w:rsid w:val="006A621F"/>
    <w:rsid w:val="006A6D16"/>
    <w:rsid w:val="006B2D9B"/>
    <w:rsid w:val="006B3B6F"/>
    <w:rsid w:val="006B708A"/>
    <w:rsid w:val="006D4AD4"/>
    <w:rsid w:val="006D767C"/>
    <w:rsid w:val="006D7EFA"/>
    <w:rsid w:val="006E1BD1"/>
    <w:rsid w:val="006E2141"/>
    <w:rsid w:val="006E32C7"/>
    <w:rsid w:val="006E4926"/>
    <w:rsid w:val="006E7218"/>
    <w:rsid w:val="006F204F"/>
    <w:rsid w:val="006F28FD"/>
    <w:rsid w:val="006F6C42"/>
    <w:rsid w:val="00700F7D"/>
    <w:rsid w:val="00704E99"/>
    <w:rsid w:val="00705AF5"/>
    <w:rsid w:val="007125A3"/>
    <w:rsid w:val="00713E8A"/>
    <w:rsid w:val="00720016"/>
    <w:rsid w:val="0073144B"/>
    <w:rsid w:val="00742D50"/>
    <w:rsid w:val="00747876"/>
    <w:rsid w:val="007515E8"/>
    <w:rsid w:val="00751984"/>
    <w:rsid w:val="00757EB0"/>
    <w:rsid w:val="0076026F"/>
    <w:rsid w:val="00761626"/>
    <w:rsid w:val="0076196C"/>
    <w:rsid w:val="00773892"/>
    <w:rsid w:val="0077725D"/>
    <w:rsid w:val="00784FA8"/>
    <w:rsid w:val="00786D07"/>
    <w:rsid w:val="007877E7"/>
    <w:rsid w:val="00787FDE"/>
    <w:rsid w:val="007954DD"/>
    <w:rsid w:val="007A2C97"/>
    <w:rsid w:val="007A733A"/>
    <w:rsid w:val="007A795C"/>
    <w:rsid w:val="007B01DB"/>
    <w:rsid w:val="007B47BF"/>
    <w:rsid w:val="007C125D"/>
    <w:rsid w:val="007C1DBB"/>
    <w:rsid w:val="007D0DF1"/>
    <w:rsid w:val="007D1959"/>
    <w:rsid w:val="007D1E20"/>
    <w:rsid w:val="007D2512"/>
    <w:rsid w:val="007D5B4C"/>
    <w:rsid w:val="007D6D3A"/>
    <w:rsid w:val="007D74EA"/>
    <w:rsid w:val="007E1029"/>
    <w:rsid w:val="007E2A12"/>
    <w:rsid w:val="007E2DEB"/>
    <w:rsid w:val="007E4B08"/>
    <w:rsid w:val="007F17BF"/>
    <w:rsid w:val="007F44C1"/>
    <w:rsid w:val="007F4641"/>
    <w:rsid w:val="007F5AE0"/>
    <w:rsid w:val="00803410"/>
    <w:rsid w:val="008036BD"/>
    <w:rsid w:val="00816C9D"/>
    <w:rsid w:val="00822B90"/>
    <w:rsid w:val="00830053"/>
    <w:rsid w:val="00832E9D"/>
    <w:rsid w:val="008345DA"/>
    <w:rsid w:val="0083628E"/>
    <w:rsid w:val="00836874"/>
    <w:rsid w:val="0084646F"/>
    <w:rsid w:val="00847708"/>
    <w:rsid w:val="008571DD"/>
    <w:rsid w:val="0086278B"/>
    <w:rsid w:val="00865494"/>
    <w:rsid w:val="00870A4F"/>
    <w:rsid w:val="00870DD2"/>
    <w:rsid w:val="008714C6"/>
    <w:rsid w:val="008714E4"/>
    <w:rsid w:val="00876720"/>
    <w:rsid w:val="00877830"/>
    <w:rsid w:val="008800CE"/>
    <w:rsid w:val="00880236"/>
    <w:rsid w:val="008901E3"/>
    <w:rsid w:val="00891EC0"/>
    <w:rsid w:val="00892D04"/>
    <w:rsid w:val="008A05D4"/>
    <w:rsid w:val="008A087F"/>
    <w:rsid w:val="008B1953"/>
    <w:rsid w:val="008B74CD"/>
    <w:rsid w:val="008C3D11"/>
    <w:rsid w:val="008E58D7"/>
    <w:rsid w:val="008E7014"/>
    <w:rsid w:val="008F6732"/>
    <w:rsid w:val="008F76B7"/>
    <w:rsid w:val="008F7B02"/>
    <w:rsid w:val="00906D06"/>
    <w:rsid w:val="0091349E"/>
    <w:rsid w:val="009165DB"/>
    <w:rsid w:val="00924D57"/>
    <w:rsid w:val="00924E6E"/>
    <w:rsid w:val="009337CE"/>
    <w:rsid w:val="00933BF8"/>
    <w:rsid w:val="009345D0"/>
    <w:rsid w:val="00935D5E"/>
    <w:rsid w:val="00937906"/>
    <w:rsid w:val="009409AB"/>
    <w:rsid w:val="009520D2"/>
    <w:rsid w:val="009524B0"/>
    <w:rsid w:val="0095299B"/>
    <w:rsid w:val="00954C24"/>
    <w:rsid w:val="0095533E"/>
    <w:rsid w:val="0096598D"/>
    <w:rsid w:val="009844B9"/>
    <w:rsid w:val="0098629A"/>
    <w:rsid w:val="00993791"/>
    <w:rsid w:val="00997E7D"/>
    <w:rsid w:val="009A0DEA"/>
    <w:rsid w:val="009A4840"/>
    <w:rsid w:val="009B12C5"/>
    <w:rsid w:val="009B17FD"/>
    <w:rsid w:val="009B60ED"/>
    <w:rsid w:val="009B6D4C"/>
    <w:rsid w:val="009B6F78"/>
    <w:rsid w:val="009C1DBA"/>
    <w:rsid w:val="009C39F1"/>
    <w:rsid w:val="009C490E"/>
    <w:rsid w:val="009C5EEA"/>
    <w:rsid w:val="009C6FD0"/>
    <w:rsid w:val="009C7359"/>
    <w:rsid w:val="009D26B4"/>
    <w:rsid w:val="009D625E"/>
    <w:rsid w:val="009D672C"/>
    <w:rsid w:val="009E1ECB"/>
    <w:rsid w:val="009E370A"/>
    <w:rsid w:val="009F55F8"/>
    <w:rsid w:val="009F5F12"/>
    <w:rsid w:val="00A0252E"/>
    <w:rsid w:val="00A033B0"/>
    <w:rsid w:val="00A0498A"/>
    <w:rsid w:val="00A07892"/>
    <w:rsid w:val="00A10D9D"/>
    <w:rsid w:val="00A20A4D"/>
    <w:rsid w:val="00A30E2F"/>
    <w:rsid w:val="00A50ED2"/>
    <w:rsid w:val="00A53AC7"/>
    <w:rsid w:val="00A557AB"/>
    <w:rsid w:val="00A61C73"/>
    <w:rsid w:val="00A626A8"/>
    <w:rsid w:val="00A63F16"/>
    <w:rsid w:val="00A65507"/>
    <w:rsid w:val="00A75B44"/>
    <w:rsid w:val="00A818DC"/>
    <w:rsid w:val="00A81BD7"/>
    <w:rsid w:val="00A83852"/>
    <w:rsid w:val="00A8711C"/>
    <w:rsid w:val="00A93137"/>
    <w:rsid w:val="00A94DA3"/>
    <w:rsid w:val="00A965EC"/>
    <w:rsid w:val="00AA2C4B"/>
    <w:rsid w:val="00AC02A8"/>
    <w:rsid w:val="00AC0FE5"/>
    <w:rsid w:val="00AC13F2"/>
    <w:rsid w:val="00AD0C3D"/>
    <w:rsid w:val="00AD230D"/>
    <w:rsid w:val="00AD2E37"/>
    <w:rsid w:val="00AD6BE2"/>
    <w:rsid w:val="00AE2518"/>
    <w:rsid w:val="00AE5426"/>
    <w:rsid w:val="00AF08B8"/>
    <w:rsid w:val="00AF1318"/>
    <w:rsid w:val="00AF2CD1"/>
    <w:rsid w:val="00AF6343"/>
    <w:rsid w:val="00AF74B0"/>
    <w:rsid w:val="00B02BB9"/>
    <w:rsid w:val="00B0394F"/>
    <w:rsid w:val="00B04637"/>
    <w:rsid w:val="00B107C7"/>
    <w:rsid w:val="00B1182A"/>
    <w:rsid w:val="00B17B0A"/>
    <w:rsid w:val="00B35C52"/>
    <w:rsid w:val="00B41E50"/>
    <w:rsid w:val="00B46C22"/>
    <w:rsid w:val="00B50A9D"/>
    <w:rsid w:val="00B53B58"/>
    <w:rsid w:val="00B62DD4"/>
    <w:rsid w:val="00B711EE"/>
    <w:rsid w:val="00B82DA4"/>
    <w:rsid w:val="00B837C1"/>
    <w:rsid w:val="00B8428C"/>
    <w:rsid w:val="00B92EE7"/>
    <w:rsid w:val="00B960AF"/>
    <w:rsid w:val="00B96FE0"/>
    <w:rsid w:val="00B97EF2"/>
    <w:rsid w:val="00BB1F04"/>
    <w:rsid w:val="00BB345F"/>
    <w:rsid w:val="00BB4B55"/>
    <w:rsid w:val="00BB50CD"/>
    <w:rsid w:val="00BB54D4"/>
    <w:rsid w:val="00BB76A7"/>
    <w:rsid w:val="00BC07D1"/>
    <w:rsid w:val="00BD2732"/>
    <w:rsid w:val="00BD304A"/>
    <w:rsid w:val="00BD6B8A"/>
    <w:rsid w:val="00BE17DA"/>
    <w:rsid w:val="00BE3077"/>
    <w:rsid w:val="00BE3E4A"/>
    <w:rsid w:val="00C001C0"/>
    <w:rsid w:val="00C01F7D"/>
    <w:rsid w:val="00C20668"/>
    <w:rsid w:val="00C2238A"/>
    <w:rsid w:val="00C22824"/>
    <w:rsid w:val="00C240C9"/>
    <w:rsid w:val="00C255A3"/>
    <w:rsid w:val="00C26C4C"/>
    <w:rsid w:val="00C40B68"/>
    <w:rsid w:val="00C4263A"/>
    <w:rsid w:val="00C44DBE"/>
    <w:rsid w:val="00C451F3"/>
    <w:rsid w:val="00C472D7"/>
    <w:rsid w:val="00C5022C"/>
    <w:rsid w:val="00C51739"/>
    <w:rsid w:val="00C53BA0"/>
    <w:rsid w:val="00C54555"/>
    <w:rsid w:val="00C54750"/>
    <w:rsid w:val="00C56AE8"/>
    <w:rsid w:val="00C745E4"/>
    <w:rsid w:val="00C76DEA"/>
    <w:rsid w:val="00C80D9A"/>
    <w:rsid w:val="00C9180E"/>
    <w:rsid w:val="00C962DE"/>
    <w:rsid w:val="00CB4742"/>
    <w:rsid w:val="00CB4E4B"/>
    <w:rsid w:val="00CC029F"/>
    <w:rsid w:val="00CC15AF"/>
    <w:rsid w:val="00CC1BEF"/>
    <w:rsid w:val="00CC1DA9"/>
    <w:rsid w:val="00CD1BB0"/>
    <w:rsid w:val="00CD55B8"/>
    <w:rsid w:val="00CD57E1"/>
    <w:rsid w:val="00CE4569"/>
    <w:rsid w:val="00CE6000"/>
    <w:rsid w:val="00CF2DCB"/>
    <w:rsid w:val="00CF6972"/>
    <w:rsid w:val="00D0381B"/>
    <w:rsid w:val="00D05A70"/>
    <w:rsid w:val="00D128BA"/>
    <w:rsid w:val="00D216B3"/>
    <w:rsid w:val="00D235A6"/>
    <w:rsid w:val="00D2416C"/>
    <w:rsid w:val="00D30C32"/>
    <w:rsid w:val="00D34C46"/>
    <w:rsid w:val="00D41FE6"/>
    <w:rsid w:val="00D4379B"/>
    <w:rsid w:val="00D573C7"/>
    <w:rsid w:val="00D610EF"/>
    <w:rsid w:val="00D618C9"/>
    <w:rsid w:val="00D62DD4"/>
    <w:rsid w:val="00D64F62"/>
    <w:rsid w:val="00D661E0"/>
    <w:rsid w:val="00D675D7"/>
    <w:rsid w:val="00D71A84"/>
    <w:rsid w:val="00D74A01"/>
    <w:rsid w:val="00D76F9E"/>
    <w:rsid w:val="00D81984"/>
    <w:rsid w:val="00D959F6"/>
    <w:rsid w:val="00DA1BD4"/>
    <w:rsid w:val="00DA27B8"/>
    <w:rsid w:val="00DA3131"/>
    <w:rsid w:val="00DA4295"/>
    <w:rsid w:val="00DB0628"/>
    <w:rsid w:val="00DB4E3E"/>
    <w:rsid w:val="00DB53E4"/>
    <w:rsid w:val="00DC58E2"/>
    <w:rsid w:val="00DD6079"/>
    <w:rsid w:val="00DD7967"/>
    <w:rsid w:val="00DD7C1E"/>
    <w:rsid w:val="00DE35D6"/>
    <w:rsid w:val="00DE485E"/>
    <w:rsid w:val="00DF08BC"/>
    <w:rsid w:val="00DF10F6"/>
    <w:rsid w:val="00DF16D7"/>
    <w:rsid w:val="00DF1CEB"/>
    <w:rsid w:val="00DF693E"/>
    <w:rsid w:val="00E01799"/>
    <w:rsid w:val="00E17A89"/>
    <w:rsid w:val="00E270FF"/>
    <w:rsid w:val="00E339FF"/>
    <w:rsid w:val="00E34194"/>
    <w:rsid w:val="00E35790"/>
    <w:rsid w:val="00E37295"/>
    <w:rsid w:val="00E438F9"/>
    <w:rsid w:val="00E503BF"/>
    <w:rsid w:val="00E60477"/>
    <w:rsid w:val="00E61CBC"/>
    <w:rsid w:val="00E6491B"/>
    <w:rsid w:val="00E960DB"/>
    <w:rsid w:val="00EA3A8D"/>
    <w:rsid w:val="00EB108B"/>
    <w:rsid w:val="00EB4CEE"/>
    <w:rsid w:val="00EC2C72"/>
    <w:rsid w:val="00EC3D18"/>
    <w:rsid w:val="00EC7361"/>
    <w:rsid w:val="00ED0749"/>
    <w:rsid w:val="00ED3299"/>
    <w:rsid w:val="00EE2E40"/>
    <w:rsid w:val="00EE37C7"/>
    <w:rsid w:val="00EE5217"/>
    <w:rsid w:val="00EE57D2"/>
    <w:rsid w:val="00EF04A9"/>
    <w:rsid w:val="00F02C2E"/>
    <w:rsid w:val="00F0686A"/>
    <w:rsid w:val="00F23001"/>
    <w:rsid w:val="00F30007"/>
    <w:rsid w:val="00F316E2"/>
    <w:rsid w:val="00F32110"/>
    <w:rsid w:val="00F335E6"/>
    <w:rsid w:val="00F40585"/>
    <w:rsid w:val="00F43E76"/>
    <w:rsid w:val="00F606E7"/>
    <w:rsid w:val="00F617CF"/>
    <w:rsid w:val="00F668C4"/>
    <w:rsid w:val="00F7096C"/>
    <w:rsid w:val="00F80B35"/>
    <w:rsid w:val="00F81920"/>
    <w:rsid w:val="00F85125"/>
    <w:rsid w:val="00F87BF5"/>
    <w:rsid w:val="00F923EC"/>
    <w:rsid w:val="00F92953"/>
    <w:rsid w:val="00F96BE8"/>
    <w:rsid w:val="00FA1354"/>
    <w:rsid w:val="00FA2B27"/>
    <w:rsid w:val="00FA7367"/>
    <w:rsid w:val="00FB095D"/>
    <w:rsid w:val="00FB55FC"/>
    <w:rsid w:val="00FC2394"/>
    <w:rsid w:val="00FC2BAD"/>
    <w:rsid w:val="00FD3AAE"/>
    <w:rsid w:val="00FE158F"/>
    <w:rsid w:val="00FE2357"/>
    <w:rsid w:val="00FE3650"/>
    <w:rsid w:val="00FE4213"/>
    <w:rsid w:val="00FF05C8"/>
    <w:rsid w:val="00FF2BC1"/>
    <w:rsid w:val="00FF2E67"/>
    <w:rsid w:val="00FF32EE"/>
    <w:rsid w:val="00FF6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6563305"/>
  <w15:chartTrackingRefBased/>
  <w15:docId w15:val="{70335E51-4744-1F42-A886-26636C8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A8"/>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A626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A626A8"/>
    <w:pPr>
      <w:spacing w:before="100" w:beforeAutospacing="1" w:after="100" w:afterAutospacing="1"/>
      <w:outlineLvl w:val="1"/>
    </w:pPr>
    <w:rPr>
      <w:b/>
      <w:bCs/>
      <w:sz w:val="36"/>
      <w:szCs w:val="36"/>
    </w:rPr>
  </w:style>
  <w:style w:type="paragraph" w:styleId="Rubrik3">
    <w:name w:val="heading 3"/>
    <w:basedOn w:val="Normal"/>
    <w:next w:val="Normal"/>
    <w:link w:val="Rubrik3Char"/>
    <w:uiPriority w:val="9"/>
    <w:unhideWhenUsed/>
    <w:qFormat/>
    <w:rsid w:val="00A626A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rsid w:val="00A626A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626A8"/>
  </w:style>
  <w:style w:type="character" w:customStyle="1" w:styleId="Rubrik1Char">
    <w:name w:val="Rubrik 1 Char"/>
    <w:basedOn w:val="Standardstycketeckensnitt"/>
    <w:link w:val="Rubrik1"/>
    <w:uiPriority w:val="9"/>
    <w:rsid w:val="00A626A8"/>
    <w:rPr>
      <w:rFonts w:asciiTheme="majorHAnsi" w:eastAsiaTheme="majorEastAsia" w:hAnsiTheme="majorHAnsi" w:cstheme="majorBidi"/>
      <w:color w:val="2F5496" w:themeColor="accent1" w:themeShade="BF"/>
      <w:sz w:val="32"/>
      <w:szCs w:val="32"/>
      <w:lang w:eastAsia="sv-SE"/>
    </w:rPr>
  </w:style>
  <w:style w:type="character" w:customStyle="1" w:styleId="Rubrik2Char">
    <w:name w:val="Rubrik 2 Char"/>
    <w:basedOn w:val="Standardstycketeckensnitt"/>
    <w:link w:val="Rubrik2"/>
    <w:uiPriority w:val="9"/>
    <w:rsid w:val="00A626A8"/>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626A8"/>
    <w:rPr>
      <w:rFonts w:asciiTheme="majorHAnsi" w:eastAsiaTheme="majorEastAsia" w:hAnsiTheme="majorHAnsi" w:cstheme="majorBidi"/>
      <w:color w:val="1F3763" w:themeColor="accent1" w:themeShade="7F"/>
      <w:lang w:eastAsia="sv-SE"/>
    </w:rPr>
  </w:style>
  <w:style w:type="character" w:customStyle="1" w:styleId="apple-converted-space">
    <w:name w:val="apple-converted-space"/>
    <w:basedOn w:val="Standardstycketeckensnitt"/>
    <w:rsid w:val="00A626A8"/>
  </w:style>
  <w:style w:type="paragraph" w:styleId="Normalwebb">
    <w:name w:val="Normal (Web)"/>
    <w:basedOn w:val="Normal"/>
    <w:uiPriority w:val="99"/>
    <w:semiHidden/>
    <w:unhideWhenUsed/>
    <w:rsid w:val="00A626A8"/>
    <w:pPr>
      <w:spacing w:before="100" w:beforeAutospacing="1" w:after="100" w:afterAutospacing="1"/>
    </w:pPr>
  </w:style>
  <w:style w:type="character" w:styleId="Betoning">
    <w:name w:val="Emphasis"/>
    <w:basedOn w:val="Standardstycketeckensnitt"/>
    <w:uiPriority w:val="20"/>
    <w:qFormat/>
    <w:rsid w:val="00A626A8"/>
    <w:rPr>
      <w:i/>
      <w:iCs/>
    </w:rPr>
  </w:style>
  <w:style w:type="character" w:styleId="Hyperlnk">
    <w:name w:val="Hyperlink"/>
    <w:basedOn w:val="Standardstycketeckensnitt"/>
    <w:uiPriority w:val="99"/>
    <w:unhideWhenUsed/>
    <w:rsid w:val="00A626A8"/>
    <w:rPr>
      <w:color w:val="0000FF"/>
      <w:u w:val="single"/>
    </w:rPr>
  </w:style>
  <w:style w:type="character" w:styleId="Stark">
    <w:name w:val="Strong"/>
    <w:basedOn w:val="Standardstycketeckensnitt"/>
    <w:uiPriority w:val="22"/>
    <w:qFormat/>
    <w:rsid w:val="00A626A8"/>
    <w:rPr>
      <w:b/>
      <w:bCs/>
    </w:rPr>
  </w:style>
  <w:style w:type="character" w:customStyle="1" w:styleId="textlayer--absolute">
    <w:name w:val="textlayer--absolute"/>
    <w:basedOn w:val="Standardstycketeckensnitt"/>
    <w:rsid w:val="00A626A8"/>
  </w:style>
  <w:style w:type="character" w:customStyle="1" w:styleId="screenreader-only">
    <w:name w:val="screenreader-only"/>
    <w:basedOn w:val="Standardstycketeckensnitt"/>
    <w:rsid w:val="00A626A8"/>
  </w:style>
  <w:style w:type="paragraph" w:customStyle="1" w:styleId="EndNoteBibliographyTitle">
    <w:name w:val="EndNote Bibliography Title"/>
    <w:basedOn w:val="Normal"/>
    <w:link w:val="EndNoteBibliographyTitleChar"/>
    <w:rsid w:val="00A626A8"/>
    <w:pPr>
      <w:jc w:val="center"/>
    </w:pPr>
  </w:style>
  <w:style w:type="character" w:customStyle="1" w:styleId="EndNoteBibliographyTitleChar">
    <w:name w:val="EndNote Bibliography Title Char"/>
    <w:basedOn w:val="Standardstycketeckensnitt"/>
    <w:link w:val="EndNoteBibliographyTitle"/>
    <w:rsid w:val="00A626A8"/>
    <w:rPr>
      <w:rFonts w:ascii="Times New Roman" w:eastAsia="Times New Roman" w:hAnsi="Times New Roman" w:cs="Times New Roman"/>
      <w:lang w:eastAsia="sv-SE"/>
    </w:rPr>
  </w:style>
  <w:style w:type="paragraph" w:customStyle="1" w:styleId="EndNoteBibliography">
    <w:name w:val="EndNote Bibliography"/>
    <w:basedOn w:val="Normal"/>
    <w:link w:val="EndNoteBibliographyChar"/>
    <w:rsid w:val="00A626A8"/>
  </w:style>
  <w:style w:type="character" w:customStyle="1" w:styleId="EndNoteBibliographyChar">
    <w:name w:val="EndNote Bibliography Char"/>
    <w:basedOn w:val="Standardstycketeckensnitt"/>
    <w:link w:val="EndNoteBibliography"/>
    <w:rsid w:val="00A626A8"/>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A626A8"/>
    <w:rPr>
      <w:color w:val="605E5C"/>
      <w:shd w:val="clear" w:color="auto" w:fill="E1DFDD"/>
    </w:rPr>
  </w:style>
  <w:style w:type="paragraph" w:customStyle="1" w:styleId="breadcrumb-item">
    <w:name w:val="breadcrumb-item"/>
    <w:basedOn w:val="Normal"/>
    <w:rsid w:val="00A626A8"/>
    <w:pPr>
      <w:spacing w:before="100" w:beforeAutospacing="1" w:after="100" w:afterAutospacing="1"/>
    </w:pPr>
  </w:style>
  <w:style w:type="character" w:customStyle="1" w:styleId="separator">
    <w:name w:val="separator"/>
    <w:basedOn w:val="Standardstycketeckensnitt"/>
    <w:rsid w:val="00A626A8"/>
  </w:style>
  <w:style w:type="character" w:customStyle="1" w:styleId="item-list-date">
    <w:name w:val="item-list-date"/>
    <w:basedOn w:val="Standardstycketeckensnitt"/>
    <w:rsid w:val="00A626A8"/>
  </w:style>
  <w:style w:type="paragraph" w:customStyle="1" w:styleId="bp-vs-list-item">
    <w:name w:val="bp-vs-list-item"/>
    <w:basedOn w:val="Normal"/>
    <w:rsid w:val="00A626A8"/>
    <w:pPr>
      <w:spacing w:before="100" w:beforeAutospacing="1" w:after="100" w:afterAutospacing="1"/>
    </w:pPr>
  </w:style>
  <w:style w:type="paragraph" w:styleId="Liststycke">
    <w:name w:val="List Paragraph"/>
    <w:basedOn w:val="Normal"/>
    <w:uiPriority w:val="34"/>
    <w:qFormat/>
    <w:rsid w:val="00A626A8"/>
    <w:pPr>
      <w:ind w:left="720"/>
      <w:contextualSpacing/>
    </w:pPr>
  </w:style>
  <w:style w:type="paragraph" w:styleId="Fotnotstext">
    <w:name w:val="footnote text"/>
    <w:basedOn w:val="Normal"/>
    <w:link w:val="FotnotstextChar"/>
    <w:uiPriority w:val="99"/>
    <w:semiHidden/>
    <w:unhideWhenUsed/>
    <w:rsid w:val="00A626A8"/>
    <w:rPr>
      <w:sz w:val="20"/>
      <w:szCs w:val="20"/>
    </w:rPr>
  </w:style>
  <w:style w:type="character" w:customStyle="1" w:styleId="FotnotstextChar">
    <w:name w:val="Fotnotstext Char"/>
    <w:basedOn w:val="Standardstycketeckensnitt"/>
    <w:link w:val="Fotnotstext"/>
    <w:uiPriority w:val="99"/>
    <w:semiHidden/>
    <w:rsid w:val="00A626A8"/>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A626A8"/>
    <w:rPr>
      <w:vertAlign w:val="superscript"/>
    </w:rPr>
  </w:style>
  <w:style w:type="character" w:styleId="AnvndHyperlnk">
    <w:name w:val="FollowedHyperlink"/>
    <w:basedOn w:val="Standardstycketeckensnitt"/>
    <w:uiPriority w:val="99"/>
    <w:semiHidden/>
    <w:unhideWhenUsed/>
    <w:rsid w:val="00A626A8"/>
    <w:rPr>
      <w:color w:val="954F72" w:themeColor="followedHyperlink"/>
      <w:u w:val="single"/>
    </w:rPr>
  </w:style>
  <w:style w:type="table" w:styleId="Tabellrutnt">
    <w:name w:val="Table Grid"/>
    <w:basedOn w:val="Normaltabell"/>
    <w:uiPriority w:val="39"/>
    <w:rsid w:val="00A6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5791</Words>
  <Characters>30696</Characters>
  <Application>Microsoft Office Word</Application>
  <DocSecurity>0</DocSecurity>
  <Lines>255</Lines>
  <Paragraphs>72</Paragraphs>
  <ScaleCrop>false</ScaleCrop>
  <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Mattisson</dc:creator>
  <cp:keywords/>
  <dc:description/>
  <cp:lastModifiedBy>Ramona Mattisson</cp:lastModifiedBy>
  <cp:revision>2</cp:revision>
  <dcterms:created xsi:type="dcterms:W3CDTF">2022-10-30T20:47:00Z</dcterms:created>
  <dcterms:modified xsi:type="dcterms:W3CDTF">2022-10-30T20:58:00Z</dcterms:modified>
</cp:coreProperties>
</file>